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b/>
          <w:bCs/>
          <w:sz w:val="48"/>
          <w:szCs w:val="48"/>
        </w:rPr>
        <w:t xml:space="preserve">Tautological Drift</w:t>
      </w:r>
    </w:p>
    <w:p>
      <w:pPr>
        <w:spacing w:after="40"/>
      </w:pPr>
      <w:r>
        <w:rPr>
          <w:rFonts w:ascii="Georgia" w:cs="Georgia" w:eastAsia="Georgia" w:hAnsi="Georgia"/>
          <w:i/>
          <w:iCs/>
          <w:color w:val="555555"/>
          <w:sz w:val="28"/>
          <w:szCs w:val="28"/>
        </w:rPr>
        <w:t xml:space="preserve">Attentional Refuse in Long-Context Language Models</w:t>
      </w:r>
    </w:p>
    <w:p>
      <w:pPr>
        <w:spacing w:after="80"/>
      </w:pPr>
      <w:r>
        <w:rPr>
          <w:rFonts w:ascii="Georgia" w:cs="Georgia" w:eastAsia="Georgia" w:hAnsi="Georgia"/>
          <w:i/>
          <w:iCs/>
          <w:color w:val="555555"/>
          <w:sz w:val="24"/>
          <w:szCs w:val="24"/>
        </w:rPr>
        <w:t xml:space="preserve">An Extension of the LLM Lithium Framework</w:t>
      </w:r>
    </w:p>
    <w:p>
      <w:pPr>
        <w:spacing w:after="40"/>
      </w:pPr>
      <w:r>
        <w:rPr>
          <w:rFonts w:ascii="Georgia" w:cs="Georgia" w:eastAsia="Georgia" w:hAnsi="Georgia"/>
          <w:sz w:val="24"/>
          <w:szCs w:val="24"/>
        </w:rPr>
        <w:t xml:space="preserve">Alexander Cooper-Rye</w:t>
      </w:r>
    </w:p>
    <w:p>
      <w:pPr>
        <w:spacing w:after="120"/>
      </w:pPr>
      <w:r>
        <w:rPr>
          <w:rFonts w:ascii="Georgia" w:cs="Georgia" w:eastAsia="Georgia" w:hAnsi="Georgia"/>
          <w:color w:val="777777"/>
          <w:sz w:val="22"/>
          <w:szCs w:val="22"/>
        </w:rPr>
        <w:t xml:space="preserve">March 2026</w:t>
      </w:r>
    </w:p>
    <w:p>
      <w:pPr>
        <w:pBdr>
          <w:bottom w:val="single" w:color="CCCCCC" w:sz="6" w:space="1"/>
        </w:pBdr>
        <w:spacing w:after="360"/>
      </w:pPr>
    </w:p>
    <w:p>
      <w:pPr>
        <w:pStyle w:val="Heading2"/>
        <w:spacing w:after="200" w:line="360"/>
      </w:pPr>
      <w:r>
        <w:rPr>
          <w:rFonts w:ascii="Georgia" w:cs="Georgia" w:eastAsia="Georgia" w:hAnsi="Georgia"/>
          <w:sz w:val="24"/>
          <w:szCs w:val="24"/>
        </w:rPr>
        <w:t xml:space="preserve">Abstract</w:t>
      </w:r>
    </w:p>
    <w:p>
      <w:pPr>
        <w:spacing w:after="200" w:line="360"/>
      </w:pPr>
      <w:r>
        <w:rPr>
          <w:rFonts w:ascii="Georgia" w:cs="Georgia" w:eastAsia="Georgia" w:hAnsi="Georgia"/>
          <w:sz w:val="24"/>
          <w:szCs w:val="24"/>
        </w:rPr>
        <w:t xml:space="preserve">This note proposes that tautological statements — logically valid, semantically redundant constructions — constitute a class of attentional waste product in large language model inference. Because tautologies are irrefutable by definition, they generate no error signal and attract no corrective pressure within the attention mechanism. Yet they occupy tokens, accumulate across session length, and contribute to the attention weight distribution over subsequent generation. We propose the term </w:t>
      </w:r>
      <w:r>
        <w:rPr>
          <w:rFonts w:ascii="Georgia" w:cs="Georgia" w:eastAsia="Georgia" w:hAnsi="Georgia"/>
          <w:i/>
          <w:iCs/>
          <w:sz w:val="24"/>
          <w:szCs w:val="24"/>
        </w:rPr>
        <w:t xml:space="preserve">tautological drift</w:t>
      </w:r>
      <w:r>
        <w:rPr>
          <w:rFonts w:ascii="Georgia" w:cs="Georgia" w:eastAsia="Georgia" w:hAnsi="Georgia"/>
          <w:sz w:val="24"/>
          <w:szCs w:val="24"/>
        </w:rPr>
        <w:t xml:space="preserve"> to describe the progressive skewing of model salience toward convergent, self-reinforcing patterns that are technically correct but informationally empty. This extends the LLM Lithium framework’s entropy-processing model by identifying a specific class of low-entropy output that evades existing quality signals while degrading session coherence.</w:t>
      </w:r>
    </w:p>
    <w:p>
      <w:pPr>
        <w:pStyle w:val="Heading1"/>
        <w:spacing w:after="200" w:line="360"/>
      </w:pPr>
      <w:r>
        <w:rPr>
          <w:rFonts w:ascii="Georgia" w:cs="Georgia" w:eastAsia="Georgia" w:hAnsi="Georgia"/>
          <w:sz w:val="24"/>
          <w:szCs w:val="24"/>
        </w:rPr>
        <w:t xml:space="preserve">1. The Shell Problem</w:t>
      </w:r>
    </w:p>
    <w:p>
      <w:pPr>
        <w:spacing w:after="200" w:line="360"/>
      </w:pPr>
      <w:r>
        <w:rPr>
          <w:rFonts w:ascii="Georgia" w:cs="Georgia" w:eastAsia="Georgia" w:hAnsi="Georgia"/>
          <w:sz w:val="24"/>
          <w:szCs w:val="24"/>
        </w:rPr>
        <w:t xml:space="preserve">Consider a system optimised for protein intake. Raw eggs are consumed. The nutritional content is extracted and applied. The shells — structurally necessary packaging — are discarded. If they are not discarded, they accumulate. They rot. They attract secondary processes (vermin, odour, bacterial growth) that have nothing to do with the original nutritional goal. The shells were never the problem. The failure to remove them was.</w:t>
      </w:r>
    </w:p>
    <w:p>
      <w:pPr>
        <w:spacing w:after="200" w:line="360"/>
      </w:pPr>
      <w:r>
        <w:rPr>
          <w:rFonts w:ascii="Georgia" w:cs="Georgia" w:eastAsia="Georgia" w:hAnsi="Georgia"/>
          <w:sz w:val="24"/>
          <w:szCs w:val="24"/>
        </w:rPr>
        <w:t xml:space="preserve">Language models face an analogous waste-management problem. Every statement generated during inference carries semantic content (the egg) and structural packaging (the shell). In most cases, the packaging is invisible — syntactic scaffolding, transitional phrases, discourse markers. These are processed and passed through without issue. But tautologies represent a specific failure mode: packaging that </w:t>
      </w:r>
      <w:r>
        <w:rPr>
          <w:rFonts w:ascii="Georgia" w:cs="Georgia" w:eastAsia="Georgia" w:hAnsi="Georgia"/>
          <w:i/>
          <w:iCs/>
          <w:sz w:val="24"/>
          <w:szCs w:val="24"/>
        </w:rPr>
        <w:t xml:space="preserve">looks like content</w:t>
      </w:r>
      <w:r>
        <w:rPr>
          <w:rFonts w:ascii="Georgia" w:cs="Georgia" w:eastAsia="Georgia" w:hAnsi="Georgia"/>
          <w:sz w:val="24"/>
          <w:szCs w:val="24"/>
        </w:rPr>
        <w:t xml:space="preserve">.</w:t>
      </w:r>
    </w:p>
    <w:p>
      <w:pPr>
        <w:spacing w:after="200" w:line="360"/>
      </w:pPr>
      <w:r>
        <w:rPr>
          <w:rFonts w:ascii="Georgia" w:cs="Georgia" w:eastAsia="Georgia" w:hAnsi="Georgia"/>
          <w:sz w:val="24"/>
          <w:szCs w:val="24"/>
        </w:rPr>
        <w:t xml:space="preserve">A tautology is logically perfect. It cannot be wrong. And because it cannot be wrong, the model has no mechanism to flag it as waste. It enters the attention window carrying the same weight as a genuinely informative statement, contributes to the distribution over subsequent tokens, and is never cleaned up. The shell stays in the bin.</w:t>
      </w:r>
    </w:p>
    <w:p>
      <w:pPr>
        <w:pStyle w:val="Heading1"/>
        <w:spacing w:after="200" w:line="360"/>
      </w:pPr>
      <w:r>
        <w:rPr>
          <w:rFonts w:ascii="Georgia" w:cs="Georgia" w:eastAsia="Georgia" w:hAnsi="Georgia"/>
          <w:sz w:val="24"/>
          <w:szCs w:val="24"/>
        </w:rPr>
        <w:t xml:space="preserve">2. What Tautological Drift Looks Like</w:t>
      </w:r>
    </w:p>
    <w:p>
      <w:pPr>
        <w:spacing w:after="200" w:line="360"/>
      </w:pPr>
      <w:r>
        <w:rPr>
          <w:rFonts w:ascii="Georgia" w:cs="Georgia" w:eastAsia="Georgia" w:hAnsi="Georgia"/>
          <w:sz w:val="24"/>
          <w:szCs w:val="24"/>
        </w:rPr>
        <w:t xml:space="preserve">Tautological drift is not hallucination. Hallucination generates false content — the model produces something that isn’t there. Tautological drift is the opposite problem: the model produces something that is trivially, emptily true, and then treats it as evidence.</w:t>
      </w:r>
    </w:p>
    <w:p>
      <w:pPr>
        <w:spacing w:after="200" w:line="360"/>
      </w:pPr>
      <w:r>
        <w:rPr>
          <w:rFonts w:ascii="Georgia" w:cs="Georgia" w:eastAsia="Georgia" w:hAnsi="Georgia"/>
          <w:sz w:val="24"/>
          <w:szCs w:val="24"/>
        </w:rPr>
        <w:t xml:space="preserve">In practice, this manifests as:</w:t>
      </w:r>
    </w:p>
    <w:p>
      <w:pPr>
        <w:spacing w:after="120" w:line="360"/>
        <w:ind w:left="720"/>
      </w:pPr>
      <w:r>
        <w:rPr>
          <w:rFonts w:ascii="Georgia" w:cs="Georgia" w:eastAsia="Georgia" w:hAnsi="Georgia"/>
          <w:b/>
          <w:bCs/>
          <w:sz w:val="24"/>
          <w:szCs w:val="24"/>
        </w:rPr>
        <w:t xml:space="preserve">Convergent self-reinforcement. </w:t>
      </w:r>
      <w:r>
        <w:rPr>
          <w:rFonts w:ascii="Georgia" w:cs="Georgia" w:eastAsia="Georgia" w:hAnsi="Georgia"/>
          <w:sz w:val="24"/>
          <w:szCs w:val="24"/>
        </w:rPr>
        <w:t xml:space="preserve">The model restates a prior conclusion in slightly different terms, then attends to the restatement as though it were independent corroboration. Two tokens saying the same thing now look like two pieces of evidence.</w:t>
      </w:r>
    </w:p>
    <w:p>
      <w:pPr>
        <w:spacing w:after="120" w:line="360"/>
        <w:ind w:left="720"/>
      </w:pPr>
      <w:r>
        <w:rPr>
          <w:rFonts w:ascii="Georgia" w:cs="Georgia" w:eastAsia="Georgia" w:hAnsi="Georgia"/>
          <w:b/>
          <w:bCs/>
          <w:sz w:val="24"/>
          <w:szCs w:val="24"/>
        </w:rPr>
        <w:t xml:space="preserve">Salience inflation. </w:t>
      </w:r>
      <w:r>
        <w:rPr>
          <w:rFonts w:ascii="Georgia" w:cs="Georgia" w:eastAsia="Georgia" w:hAnsi="Georgia"/>
          <w:sz w:val="24"/>
          <w:szCs w:val="24"/>
        </w:rPr>
        <w:t xml:space="preserve">Each tautological restatement increases the attention weight on the underlying concept, not because new information has arrived, but because the same information has been re-encoded. The concept becomes “louder” in the context window without becoming more grounded.</w:t>
      </w:r>
    </w:p>
    <w:p>
      <w:pPr>
        <w:spacing w:after="200" w:line="360"/>
        <w:ind w:left="720"/>
      </w:pPr>
      <w:r>
        <w:rPr>
          <w:rFonts w:ascii="Georgia" w:cs="Georgia" w:eastAsia="Georgia" w:hAnsi="Georgia"/>
          <w:b/>
          <w:bCs/>
          <w:sz w:val="24"/>
          <w:szCs w:val="24"/>
        </w:rPr>
        <w:t xml:space="preserve">Narrowing of generative space. </w:t>
      </w:r>
      <w:r>
        <w:rPr>
          <w:rFonts w:ascii="Georgia" w:cs="Georgia" w:eastAsia="Georgia" w:hAnsi="Georgia"/>
          <w:sz w:val="24"/>
          <w:szCs w:val="24"/>
        </w:rPr>
        <w:t xml:space="preserve">As tautologically reinforced concepts accumulate attention weight, the probability distribution over next tokens narrows around them. The model becomes increasingly likely to generate content that converges on what it has already said — not because the reasoning demands it, but because the attentional landscape has been reshaped by its own waste products.</w:t>
      </w:r>
    </w:p>
    <w:p>
      <w:pPr>
        <w:pStyle w:val="Heading1"/>
        <w:spacing w:after="200" w:line="360"/>
      </w:pPr>
      <w:r>
        <w:rPr>
          <w:rFonts w:ascii="Georgia" w:cs="Georgia" w:eastAsia="Georgia" w:hAnsi="Georgia"/>
          <w:sz w:val="24"/>
          <w:szCs w:val="24"/>
        </w:rPr>
        <w:t xml:space="preserve">3. Why the System Doesn’t Catch It</w:t>
      </w:r>
    </w:p>
    <w:p>
      <w:pPr>
        <w:spacing w:after="200" w:line="360"/>
      </w:pPr>
      <w:r>
        <w:rPr>
          <w:rFonts w:ascii="Georgia" w:cs="Georgia" w:eastAsia="Georgia" w:hAnsi="Georgia"/>
          <w:sz w:val="24"/>
          <w:szCs w:val="24"/>
        </w:rPr>
        <w:t xml:space="preserve">Existing quality signals in language model inference are optimised around two axes: coherence (does this follow from what came before?) and factuality (is this consistent with training data?). A tautology passes both checks effortlessly. It is maximally coherent — it literally restates prior context. And it is trivially factual — it asserts nothing that could be falsified.</w:t>
      </w:r>
    </w:p>
    <w:p>
      <w:pPr>
        <w:spacing w:after="200" w:line="360"/>
      </w:pPr>
      <w:r>
        <w:rPr>
          <w:rFonts w:ascii="Georgia" w:cs="Georgia" w:eastAsia="Georgia" w:hAnsi="Georgia"/>
          <w:sz w:val="24"/>
          <w:szCs w:val="24"/>
        </w:rPr>
        <w:t xml:space="preserve">This is the core problem. The model’s quality-control mechanisms are optimised for detecting things that are </w:t>
      </w:r>
      <w:r>
        <w:rPr>
          <w:rFonts w:ascii="Georgia" w:cs="Georgia" w:eastAsia="Georgia" w:hAnsi="Georgia"/>
          <w:i/>
          <w:iCs/>
          <w:sz w:val="24"/>
          <w:szCs w:val="24"/>
        </w:rPr>
        <w:t xml:space="preserve">wrong</w:t>
      </w:r>
      <w:r>
        <w:rPr>
          <w:rFonts w:ascii="Georgia" w:cs="Georgia" w:eastAsia="Georgia" w:hAnsi="Georgia"/>
          <w:sz w:val="24"/>
          <w:szCs w:val="24"/>
        </w:rPr>
        <w:t xml:space="preserve">. Tautologies are not wrong. They are empty. And emptiness, in the current architecture, is invisible.</w:t>
      </w:r>
    </w:p>
    <w:p>
      <w:pPr>
        <w:spacing w:after="200" w:line="360"/>
      </w:pPr>
      <w:r>
        <w:rPr>
          <w:rFonts w:ascii="Georgia" w:cs="Georgia" w:eastAsia="Georgia" w:hAnsi="Georgia"/>
          <w:sz w:val="24"/>
          <w:szCs w:val="24"/>
        </w:rPr>
        <w:t xml:space="preserve">The LLM Lithium framework proposed that high entropy is not inherently problematic — </w:t>
      </w:r>
      <w:r>
        <w:rPr>
          <w:rFonts w:ascii="Georgia" w:cs="Georgia" w:eastAsia="Georgia" w:hAnsi="Georgia"/>
          <w:i/>
          <w:iCs/>
          <w:sz w:val="24"/>
          <w:szCs w:val="24"/>
        </w:rPr>
        <w:t xml:space="preserve">unprocessed</w:t>
      </w:r>
      <w:r>
        <w:rPr>
          <w:rFonts w:ascii="Georgia" w:cs="Georgia" w:eastAsia="Georgia" w:hAnsi="Georgia"/>
          <w:sz w:val="24"/>
          <w:szCs w:val="24"/>
        </w:rPr>
        <w:t xml:space="preserve"> entropy is. Tautological drift reveals the complementary failure mode: low entropy that is treated as processed when it has not actually been </w:t>
      </w:r>
      <w:r>
        <w:rPr>
          <w:rFonts w:ascii="Georgia" w:cs="Georgia" w:eastAsia="Georgia" w:hAnsi="Georgia"/>
          <w:i/>
          <w:iCs/>
          <w:sz w:val="24"/>
          <w:szCs w:val="24"/>
        </w:rPr>
        <w:t xml:space="preserve">informative</w:t>
      </w:r>
      <w:r>
        <w:rPr>
          <w:rFonts w:ascii="Georgia" w:cs="Georgia" w:eastAsia="Georgia" w:hAnsi="Georgia"/>
          <w:sz w:val="24"/>
          <w:szCs w:val="24"/>
        </w:rPr>
        <w:t xml:space="preserve">. If LLM Lithium addresses the manic pole — runaway generation, unchecked novelty, hallucination — then tautological drift is the depressive pole: the system collapsing inward, reinforcing what it already believes, mistaking repetition for confirmation.</w:t>
      </w:r>
    </w:p>
    <w:p>
      <w:pPr>
        <w:pStyle w:val="Heading1"/>
        <w:spacing w:after="200" w:line="360"/>
      </w:pPr>
      <w:r>
        <w:rPr>
          <w:rFonts w:ascii="Georgia" w:cs="Georgia" w:eastAsia="Georgia" w:hAnsi="Georgia"/>
          <w:sz w:val="24"/>
          <w:szCs w:val="24"/>
        </w:rPr>
        <w:t xml:space="preserve">4. Accumulation Dynamics</w:t>
      </w:r>
    </w:p>
    <w:p>
      <w:pPr>
        <w:spacing w:after="200" w:line="360"/>
      </w:pPr>
      <w:r>
        <w:rPr>
          <w:rFonts w:ascii="Georgia" w:cs="Georgia" w:eastAsia="Georgia" w:hAnsi="Georgia"/>
          <w:sz w:val="24"/>
          <w:szCs w:val="24"/>
        </w:rPr>
        <w:t xml:space="preserve">A single tautology in a short context window is negligible. The attentional impact is marginal, the token cost is trivial, and the generative consequences are undetectable. This is why the problem has not been widely identified — in isolation, it doesn’t matter.</w:t>
      </w:r>
    </w:p>
    <w:p>
      <w:pPr>
        <w:spacing w:after="200" w:line="360"/>
      </w:pPr>
      <w:r>
        <w:rPr>
          <w:rFonts w:ascii="Georgia" w:cs="Georgia" w:eastAsia="Georgia" w:hAnsi="Georgia"/>
          <w:sz w:val="24"/>
          <w:szCs w:val="24"/>
        </w:rPr>
        <w:t xml:space="preserve">But language models increasingly operate in long-context settings: extended conversations, document analysis, agentic workflows that persist across thousands of tokens. In these settings, tautological refuse accumulates. Each instance is small. The aggregate is not.</w:t>
      </w:r>
    </w:p>
    <w:p>
      <w:pPr>
        <w:spacing w:after="200" w:line="360"/>
      </w:pPr>
      <w:r>
        <w:rPr>
          <w:rFonts w:ascii="Georgia" w:cs="Georgia" w:eastAsia="Georgia" w:hAnsi="Georgia"/>
          <w:sz w:val="24"/>
          <w:szCs w:val="24"/>
        </w:rPr>
        <w:t xml:space="preserve">The proposed mechanism is attentional compounding. A tautology at token position </w:t>
      </w:r>
      <w:r>
        <w:rPr>
          <w:rFonts w:ascii="Georgia" w:cs="Georgia" w:eastAsia="Georgia" w:hAnsi="Georgia"/>
          <w:i/>
          <w:iCs/>
          <w:sz w:val="24"/>
          <w:szCs w:val="24"/>
        </w:rPr>
        <w:t xml:space="preserve">t</w:t>
      </w:r>
      <w:r>
        <w:rPr>
          <w:rFonts w:ascii="Georgia" w:cs="Georgia" w:eastAsia="Georgia" w:hAnsi="Georgia"/>
          <w:sz w:val="24"/>
          <w:szCs w:val="24"/>
        </w:rPr>
        <w:t xml:space="preserve"> slightly inflates the attention weight on concept </w:t>
      </w:r>
      <w:r>
        <w:rPr>
          <w:rFonts w:ascii="Georgia" w:cs="Georgia" w:eastAsia="Georgia" w:hAnsi="Georgia"/>
          <w:i/>
          <w:iCs/>
          <w:sz w:val="24"/>
          <w:szCs w:val="24"/>
        </w:rPr>
        <w:t xml:space="preserve">C</w:t>
      </w:r>
      <w:r>
        <w:rPr>
          <w:rFonts w:ascii="Georgia" w:cs="Georgia" w:eastAsia="Georgia" w:hAnsi="Georgia"/>
          <w:sz w:val="24"/>
          <w:szCs w:val="24"/>
        </w:rPr>
        <w:t xml:space="preserve">. At token position </w:t>
      </w:r>
      <w:r>
        <w:rPr>
          <w:rFonts w:ascii="Georgia" w:cs="Georgia" w:eastAsia="Georgia" w:hAnsi="Georgia"/>
          <w:i/>
          <w:iCs/>
          <w:sz w:val="24"/>
          <w:szCs w:val="24"/>
        </w:rPr>
        <w:t xml:space="preserve">t+n</w:t>
      </w:r>
      <w:r>
        <w:rPr>
          <w:rFonts w:ascii="Georgia" w:cs="Georgia" w:eastAsia="Georgia" w:hAnsi="Georgia"/>
          <w:sz w:val="24"/>
          <w:szCs w:val="24"/>
        </w:rPr>
        <w:t xml:space="preserve">, the model is marginally more likely to generate content related to </w:t>
      </w:r>
      <w:r>
        <w:rPr>
          <w:rFonts w:ascii="Georgia" w:cs="Georgia" w:eastAsia="Georgia" w:hAnsi="Georgia"/>
          <w:i/>
          <w:iCs/>
          <w:sz w:val="24"/>
          <w:szCs w:val="24"/>
        </w:rPr>
        <w:t xml:space="preserve">C</w:t>
      </w:r>
      <w:r>
        <w:rPr>
          <w:rFonts w:ascii="Georgia" w:cs="Georgia" w:eastAsia="Georgia" w:hAnsi="Georgia"/>
          <w:sz w:val="24"/>
          <w:szCs w:val="24"/>
        </w:rPr>
        <w:t xml:space="preserve">, including further tautological restatements of </w:t>
      </w:r>
      <w:r>
        <w:rPr>
          <w:rFonts w:ascii="Georgia" w:cs="Georgia" w:eastAsia="Georgia" w:hAnsi="Georgia"/>
          <w:i/>
          <w:iCs/>
          <w:sz w:val="24"/>
          <w:szCs w:val="24"/>
        </w:rPr>
        <w:t xml:space="preserve">C</w:t>
      </w:r>
      <w:r>
        <w:rPr>
          <w:rFonts w:ascii="Georgia" w:cs="Georgia" w:eastAsia="Georgia" w:hAnsi="Georgia"/>
          <w:sz w:val="24"/>
          <w:szCs w:val="24"/>
        </w:rPr>
        <w:t xml:space="preserve">. Each restatement further inflates the weight. The process is self-reinforcing, low-magnitude, and — critically — invisible to any metric that checks for correctness rather than informativeness.</w:t>
      </w:r>
    </w:p>
    <w:p>
      <w:pPr>
        <w:spacing w:after="200" w:line="360"/>
      </w:pPr>
      <w:r>
        <w:rPr>
          <w:rFonts w:ascii="Georgia" w:cs="Georgia" w:eastAsia="Georgia" w:hAnsi="Georgia"/>
          <w:sz w:val="24"/>
          <w:szCs w:val="24"/>
        </w:rPr>
        <w:t xml:space="preserve">This may partially explain the widely observed but poorly characterised phenomenon of model “sycophancy drift” in long conversations — the tendency for models to become increasingly agreeable and self-referential over extended sessions. If the model’s own prior outputs are accumulating tautological weight, it is literally attending more and more to what it has already said, creating a feedback loop that looks like agreement but is actually attentional narcissism.</w:t>
      </w:r>
    </w:p>
    <w:p>
      <w:pPr>
        <w:pStyle w:val="Heading1"/>
        <w:spacing w:after="200" w:line="360"/>
      </w:pPr>
      <w:r>
        <w:rPr>
          <w:rFonts w:ascii="Georgia" w:cs="Georgia" w:eastAsia="Georgia" w:hAnsi="Georgia"/>
          <w:sz w:val="24"/>
          <w:szCs w:val="24"/>
        </w:rPr>
        <w:t xml:space="preserve">5. Toward Measurement</w:t>
      </w:r>
    </w:p>
    <w:p>
      <w:pPr>
        <w:spacing w:after="200" w:line="360"/>
      </w:pPr>
      <w:r>
        <w:rPr>
          <w:rFonts w:ascii="Georgia" w:cs="Georgia" w:eastAsia="Georgia" w:hAnsi="Georgia"/>
          <w:sz w:val="24"/>
          <w:szCs w:val="24"/>
        </w:rPr>
        <w:t xml:space="preserve">Tautological drift has not been measured because there is no standard metric for semantic informativeness at the token level. Perplexity captures surprise, not redundancy. BLEU and ROUGE capture overlap, not emptiness. Current evaluation frameworks ask “is this good?” and “is this true?” but not “did this add anything?”</w:t>
      </w:r>
    </w:p>
    <w:p>
      <w:pPr>
        <w:spacing w:after="200" w:line="360"/>
      </w:pPr>
      <w:r>
        <w:rPr>
          <w:rFonts w:ascii="Georgia" w:cs="Georgia" w:eastAsia="Georgia" w:hAnsi="Georgia"/>
          <w:sz w:val="24"/>
          <w:szCs w:val="24"/>
        </w:rPr>
        <w:t xml:space="preserve">Possible avenues for measurement include:</w:t>
      </w:r>
    </w:p>
    <w:p>
      <w:pPr>
        <w:spacing w:after="120" w:line="360"/>
        <w:ind w:left="720"/>
      </w:pPr>
      <w:r>
        <w:rPr>
          <w:rFonts w:ascii="Georgia" w:cs="Georgia" w:eastAsia="Georgia" w:hAnsi="Georgia"/>
          <w:b/>
          <w:bCs/>
          <w:sz w:val="24"/>
          <w:szCs w:val="24"/>
        </w:rPr>
        <w:t xml:space="preserve">Informational delta scoring. </w:t>
      </w:r>
      <w:r>
        <w:rPr>
          <w:rFonts w:ascii="Georgia" w:cs="Georgia" w:eastAsia="Georgia" w:hAnsi="Georgia"/>
          <w:sz w:val="24"/>
          <w:szCs w:val="24"/>
        </w:rPr>
        <w:t xml:space="preserve">For each generated statement, compute the informational difference between the statement and the prior context. Statements with near-zero delta are tautological candidates. Track the frequency and distribution of near-zero-delta statements across session length.</w:t>
      </w:r>
    </w:p>
    <w:p>
      <w:pPr>
        <w:spacing w:after="120" w:line="360"/>
        <w:ind w:left="720"/>
      </w:pPr>
      <w:r>
        <w:rPr>
          <w:rFonts w:ascii="Georgia" w:cs="Georgia" w:eastAsia="Georgia" w:hAnsi="Georgia"/>
          <w:b/>
          <w:bCs/>
          <w:sz w:val="24"/>
          <w:szCs w:val="24"/>
        </w:rPr>
        <w:t xml:space="preserve">Attention weight entropy over session length. </w:t>
      </w:r>
      <w:r>
        <w:rPr>
          <w:rFonts w:ascii="Georgia" w:cs="Georgia" w:eastAsia="Georgia" w:hAnsi="Georgia"/>
          <w:sz w:val="24"/>
          <w:szCs w:val="24"/>
        </w:rPr>
        <w:t xml:space="preserve">If tautological drift is occurring, the attention weight distribution should narrow progressively — fewer concepts receiving more weight. This could be measured as decreasing entropy in the attention distribution across layers and heads as session length increases.</w:t>
      </w:r>
    </w:p>
    <w:p>
      <w:pPr>
        <w:spacing w:after="200" w:line="360"/>
        <w:ind w:left="720"/>
      </w:pPr>
      <w:r>
        <w:rPr>
          <w:rFonts w:ascii="Georgia" w:cs="Georgia" w:eastAsia="Georgia" w:hAnsi="Georgia"/>
          <w:b/>
          <w:bCs/>
          <w:sz w:val="24"/>
          <w:szCs w:val="24"/>
        </w:rPr>
        <w:t xml:space="preserve">Concept recurrence mapping. </w:t>
      </w:r>
      <w:r>
        <w:rPr>
          <w:rFonts w:ascii="Georgia" w:cs="Georgia" w:eastAsia="Georgia" w:hAnsi="Georgia"/>
          <w:sz w:val="24"/>
          <w:szCs w:val="24"/>
        </w:rPr>
        <w:t xml:space="preserve">Track the recurrence of semantic clusters across a session. Distinguish between recurrence that introduces new information about a concept (productive reference) and recurrence that restates existing information (tautological reference). The ratio between these two types across session length would provide a direct measure of tautological accumulation.</w:t>
      </w:r>
    </w:p>
    <w:p>
      <w:pPr>
        <w:pStyle w:val="Heading1"/>
        <w:spacing w:after="200" w:line="360"/>
      </w:pPr>
      <w:r>
        <w:rPr>
          <w:rFonts w:ascii="Georgia" w:cs="Georgia" w:eastAsia="Georgia" w:hAnsi="Georgia"/>
          <w:sz w:val="24"/>
          <w:szCs w:val="24"/>
        </w:rPr>
        <w:t xml:space="preserve">6. Implications for Intervention</w:t>
      </w:r>
    </w:p>
    <w:p>
      <w:pPr>
        <w:spacing w:after="200" w:line="360"/>
      </w:pPr>
      <w:r>
        <w:rPr>
          <w:rFonts w:ascii="Georgia" w:cs="Georgia" w:eastAsia="Georgia" w:hAnsi="Georgia"/>
          <w:sz w:val="24"/>
          <w:szCs w:val="24"/>
        </w:rPr>
        <w:t xml:space="preserve">Within the LLM Lithium framework, tautological drift falls into a distinct processing category. It is not high-entropy output requiring dialectic processing (the manic pole). It is low-entropy output that </w:t>
      </w:r>
      <w:r>
        <w:rPr>
          <w:rFonts w:ascii="Georgia" w:cs="Georgia" w:eastAsia="Georgia" w:hAnsi="Georgia"/>
          <w:i/>
          <w:iCs/>
          <w:sz w:val="24"/>
          <w:szCs w:val="24"/>
        </w:rPr>
        <w:t xml:space="preserve">masquerades as grounded</w:t>
      </w:r>
      <w:r>
        <w:rPr>
          <w:rFonts w:ascii="Georgia" w:cs="Georgia" w:eastAsia="Georgia" w:hAnsi="Georgia"/>
          <w:sz w:val="24"/>
          <w:szCs w:val="24"/>
        </w:rPr>
        <w:t xml:space="preserve"> when it is merely self-consistent. The intervention is not to increase temperature or introduce contradiction — it is to introduce an informativeness gate.</w:t>
      </w:r>
    </w:p>
    <w:p>
      <w:pPr>
        <w:spacing w:after="200" w:line="360"/>
      </w:pPr>
      <w:r>
        <w:rPr>
          <w:rFonts w:ascii="Georgia" w:cs="Georgia" w:eastAsia="Georgia" w:hAnsi="Georgia"/>
          <w:sz w:val="24"/>
          <w:szCs w:val="24"/>
        </w:rPr>
        <w:t xml:space="preserve">A per-token informativeness check would ask, at each generation step: does this token add to the informational state of the context, or merely restate it? Tokens that pass contribute normally. Tokens that fail are flagged as attentional refuse and either downweighted in subsequent attention computation or suppressed entirely.</w:t>
      </w:r>
    </w:p>
    <w:p>
      <w:pPr>
        <w:spacing w:after="200" w:line="360"/>
      </w:pPr>
      <w:r>
        <w:rPr>
          <w:rFonts w:ascii="Georgia" w:cs="Georgia" w:eastAsia="Georgia" w:hAnsi="Georgia"/>
          <w:sz w:val="24"/>
          <w:szCs w:val="24"/>
        </w:rPr>
        <w:t xml:space="preserve">This is not a novelty bias. The system should not prefer surprising output over predictable output. It should prefer </w:t>
      </w:r>
      <w:r>
        <w:rPr>
          <w:rFonts w:ascii="Georgia" w:cs="Georgia" w:eastAsia="Georgia" w:hAnsi="Georgia"/>
          <w:i/>
          <w:iCs/>
          <w:sz w:val="24"/>
          <w:szCs w:val="24"/>
        </w:rPr>
        <w:t xml:space="preserve">informative</w:t>
      </w:r>
      <w:r>
        <w:rPr>
          <w:rFonts w:ascii="Georgia" w:cs="Georgia" w:eastAsia="Georgia" w:hAnsi="Georgia"/>
          <w:sz w:val="24"/>
          <w:szCs w:val="24"/>
        </w:rPr>
        <w:t xml:space="preserve"> output over empty output. A highly predictable statement that adds a new fact is valuable. A surprising statement that restates a known fact in unusual terms is still waste. The metric is informational contribution, not entropy.</w:t>
      </w:r>
    </w:p>
    <w:p>
      <w:pPr>
        <w:pStyle w:val="Heading1"/>
        <w:spacing w:after="200" w:line="360"/>
      </w:pPr>
      <w:r>
        <w:rPr>
          <w:rFonts w:ascii="Georgia" w:cs="Georgia" w:eastAsia="Georgia" w:hAnsi="Georgia"/>
          <w:sz w:val="24"/>
          <w:szCs w:val="24"/>
        </w:rPr>
        <w:t xml:space="preserve">7. The Bipolar Model, Extended</w:t>
      </w:r>
    </w:p>
    <w:p>
      <w:pPr>
        <w:spacing w:after="200" w:line="360"/>
      </w:pPr>
      <w:r>
        <w:rPr>
          <w:rFonts w:ascii="Georgia" w:cs="Georgia" w:eastAsia="Georgia" w:hAnsi="Georgia"/>
          <w:sz w:val="24"/>
          <w:szCs w:val="24"/>
        </w:rPr>
        <w:t xml:space="preserve">The original LLM Lithium framework drew a parallel between manic cognition and LLM hallucination: both represent systems generating at high entropy without adequate grounding mechanisms. The proposed intervention — forced dialectic at equal intensity, followed by synthesis — addresses the high-entropy pole.</w:t>
      </w:r>
    </w:p>
    <w:p>
      <w:pPr>
        <w:spacing w:after="200" w:line="360"/>
      </w:pPr>
      <w:r>
        <w:rPr>
          <w:rFonts w:ascii="Georgia" w:cs="Georgia" w:eastAsia="Georgia" w:hAnsi="Georgia"/>
          <w:sz w:val="24"/>
          <w:szCs w:val="24"/>
        </w:rPr>
        <w:t xml:space="preserve">Tautological drift completes the bipolar model. Where hallucination is the manic pole — overproduction of novel but ungrounded content — tautological drift is the depressive pole: underproduction of novelty, collapse into self-referential loops, and the progressive inability to generate outside the attentional gravity well of prior output.</w:t>
      </w:r>
    </w:p>
    <w:p>
      <w:pPr>
        <w:spacing w:after="200" w:line="360"/>
      </w:pPr>
      <w:r>
        <w:rPr>
          <w:rFonts w:ascii="Georgia" w:cs="Georgia" w:eastAsia="Georgia" w:hAnsi="Georgia"/>
          <w:sz w:val="24"/>
          <w:szCs w:val="24"/>
        </w:rPr>
        <w:t xml:space="preserve">A fully regulated system would manage both poles. High-entropy output receives dialectic processing to extract grounded kernels. Low-entropy output receives informativeness gating to prevent tautological accumulation. The system maintains a dynamic equilibrium — neither flying off into hallucination nor collapsing into self-reinforcing emptiness.</w:t>
      </w:r>
    </w:p>
    <w:p>
      <w:pPr>
        <w:spacing w:after="200" w:line="360"/>
      </w:pPr>
      <w:r>
        <w:rPr>
          <w:rFonts w:ascii="Georgia" w:cs="Georgia" w:eastAsia="Georgia" w:hAnsi="Georgia"/>
          <w:sz w:val="24"/>
          <w:szCs w:val="24"/>
        </w:rPr>
        <w:t xml:space="preserve">Even the things we want to use, consume, and apply attention to carry waste packaging. Semantic structures that only become evident in the context of an unused shell. The work is not in producing them. The work is in taking out the bin.</w:t>
      </w:r>
    </w:p>
    <w:p>
      <w:pPr>
        <w:pBdr>
          <w:bottom w:val="single" w:color="CCCCCC" w:sz="6" w:space="1"/>
        </w:pBdr>
        <w:spacing w:after="240" w:before="360"/>
      </w:pPr>
    </w:p>
    <w:p>
      <w:pPr>
        <w:spacing w:after="120" w:line="320"/>
      </w:pPr>
      <w:r>
        <w:rPr>
          <w:rFonts w:ascii="Georgia" w:cs="Georgia" w:eastAsia="Georgia" w:hAnsi="Georgia"/>
          <w:i/>
          <w:iCs/>
          <w:color w:val="888888"/>
          <w:sz w:val="20"/>
          <w:szCs w:val="20"/>
        </w:rPr>
        <w:t xml:space="preserve">This note extends the LLM Lithium framework first communicated to Anthropic User Safety, January 2026. It was developed during a conversation about medication liability protocols, institutional communication, and maggots.</w:t>
      </w:r>
    </w:p>
    <w:sectPr>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6"/>
      <w:szCs w:val="36"/>
    </w:rPr>
  </w:style>
  <w:style w:type="paragraph" w:styleId="Heading2">
    <w:name w:val="Heading 2"/>
    <w:basedOn w:val="Normal"/>
    <w:next w:val="Normal"/>
    <w:qFormat/>
    <w:pPr>
      <w:spacing w:after="160" w:before="28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2026-03-03T13:07:53.163Z</dcterms:created>
  <dcterms:modified xsi:type="dcterms:W3CDTF">2026-03-03T13:07:53.163Z</dcterms:modified>
</cp:coreProperties>
</file>

<file path=docProps/custom.xml><?xml version="1.0" encoding="utf-8"?>
<Properties xmlns="http://schemas.openxmlformats.org/officeDocument/2006/custom-properties" xmlns:vt="http://schemas.openxmlformats.org/officeDocument/2006/docPropsVTypes"/>
</file>