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C22" w14:textId="5D81B2D7" w:rsidR="00B22FB6" w:rsidRDefault="00B22FB6"/>
    <w:p w14:paraId="53B6CEAE" w14:textId="77777777" w:rsidR="00B22FB6" w:rsidRDefault="00B22FB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FB6" w:rsidRPr="00D63FC9" w14:paraId="61F14A40" w14:textId="77777777" w:rsidTr="000B36FF">
        <w:tc>
          <w:tcPr>
            <w:tcW w:w="9350" w:type="dxa"/>
            <w:tcBorders>
              <w:bottom w:val="nil"/>
            </w:tcBorders>
          </w:tcPr>
          <w:p w14:paraId="0A4F7989" w14:textId="77777777" w:rsidR="00B22FB6" w:rsidRDefault="00B22FB6" w:rsidP="000B36FF">
            <w:pPr>
              <w:snapToGrid/>
              <w:spacing w:before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33A62E9" w14:textId="05683896" w:rsidR="00B22FB6" w:rsidRPr="00D63FC9" w:rsidRDefault="00B22FB6" w:rsidP="000B36FF">
            <w:pPr>
              <w:snapToGrid/>
              <w:spacing w:before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3F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Differential Effect of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COVID-19 </w:t>
            </w:r>
            <w:r w:rsidRPr="00D63F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Recession on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log</w:t>
            </w:r>
            <w:r w:rsidRPr="00D63F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Revenue</w:t>
            </w:r>
            <w:r w:rsidRPr="00D63F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D63F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for </w:t>
            </w:r>
            <w:r w:rsidRPr="003A261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Highly Digitalized Industries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3A2616">
              <w:rPr>
                <w:rFonts w:ascii="Times New Roman" w:hAnsi="Times New Roman"/>
                <w:b/>
                <w:bCs/>
                <w:sz w:val="24"/>
                <w:szCs w:val="24"/>
              </w:rPr>
              <w:t>s. Average</w:t>
            </w:r>
          </w:p>
        </w:tc>
      </w:tr>
      <w:tr w:rsidR="00B22FB6" w:rsidRPr="00D63FC9" w14:paraId="076C5D48" w14:textId="77777777" w:rsidTr="000B36FF">
        <w:tc>
          <w:tcPr>
            <w:tcW w:w="9350" w:type="dxa"/>
            <w:tcBorders>
              <w:top w:val="nil"/>
              <w:bottom w:val="nil"/>
            </w:tcBorders>
          </w:tcPr>
          <w:p w14:paraId="0B5999C2" w14:textId="77777777" w:rsidR="00B22FB6" w:rsidRPr="00D63FC9" w:rsidRDefault="00B22FB6" w:rsidP="000B36FF">
            <w:pPr>
              <w:snapToGrid/>
              <w:spacing w:before="16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B49D2">
              <w:rPr>
                <w:rFonts w:ascii="Times New Roman" w:hAnsi="Times New Roman"/>
                <w:noProof/>
                <w:sz w:val="20"/>
                <w:szCs w:val="24"/>
              </w:rPr>
              <w:drawing>
                <wp:inline distT="0" distB="0" distL="0" distR="0" wp14:anchorId="0EEBD6D6" wp14:editId="089D7788">
                  <wp:extent cx="3972154" cy="2654578"/>
                  <wp:effectExtent l="0" t="0" r="0" b="0"/>
                  <wp:docPr id="14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A78C61-34CC-44FE-8A8A-80546877A4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82A78C61-34CC-44FE-8A8A-80546877A4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607" t="8546" r="1390" b="2804"/>
                          <a:stretch/>
                        </pic:blipFill>
                        <pic:spPr bwMode="auto">
                          <a:xfrm>
                            <a:off x="0" y="0"/>
                            <a:ext cx="3974933" cy="265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FB6" w:rsidRPr="00D63FC9" w14:paraId="255A2937" w14:textId="77777777" w:rsidTr="000B36FF">
        <w:tc>
          <w:tcPr>
            <w:tcW w:w="9350" w:type="dxa"/>
            <w:tcBorders>
              <w:top w:val="nil"/>
            </w:tcBorders>
          </w:tcPr>
          <w:p w14:paraId="6E8C2ABD" w14:textId="77777777" w:rsidR="00B22FB6" w:rsidRDefault="00B22FB6" w:rsidP="000B36FF">
            <w:pPr>
              <w:snapToGrid/>
              <w:spacing w:line="240" w:lineRule="auto"/>
              <w:rPr>
                <w:rFonts w:ascii="Times New Roman" w:hAnsi="Times New Roman"/>
                <w:sz w:val="18"/>
              </w:rPr>
            </w:pPr>
          </w:p>
          <w:p w14:paraId="38DBCF10" w14:textId="77777777" w:rsidR="00B22FB6" w:rsidRDefault="00B22FB6" w:rsidP="000B36FF">
            <w:pPr>
              <w:snapToGrid/>
              <w:spacing w:line="240" w:lineRule="auto"/>
              <w:rPr>
                <w:rFonts w:ascii="Times New Roman" w:hAnsi="Times New Roman"/>
                <w:sz w:val="18"/>
              </w:rPr>
            </w:pPr>
          </w:p>
          <w:p w14:paraId="1160D79C" w14:textId="77777777" w:rsidR="00B22FB6" w:rsidRDefault="00B22FB6" w:rsidP="000B36FF">
            <w:pPr>
              <w:snapToGrid/>
              <w:spacing w:line="240" w:lineRule="auto"/>
              <w:rPr>
                <w:rFonts w:ascii="Times New Roman" w:hAnsi="Times New Roman"/>
                <w:sz w:val="18"/>
              </w:rPr>
            </w:pPr>
          </w:p>
          <w:p w14:paraId="63433BCE" w14:textId="63A378DE" w:rsidR="00B22FB6" w:rsidRPr="00D63FC9" w:rsidRDefault="00B22FB6" w:rsidP="000B36FF">
            <w:pPr>
              <w:snapToGrid/>
              <w:spacing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993342">
              <w:rPr>
                <w:rFonts w:ascii="Times New Roman" w:hAnsi="Times New Roman"/>
                <w:sz w:val="18"/>
              </w:rPr>
              <w:t xml:space="preserve">Note: Impulse response function based on local projection methods following </w:t>
            </w:r>
            <w:proofErr w:type="spellStart"/>
            <w:r w:rsidRPr="00993342">
              <w:rPr>
                <w:rFonts w:ascii="Times New Roman" w:hAnsi="Times New Roman"/>
                <w:sz w:val="18"/>
              </w:rPr>
              <w:t>Jordà</w:t>
            </w:r>
            <w:proofErr w:type="spellEnd"/>
            <w:r w:rsidRPr="00993342">
              <w:rPr>
                <w:rFonts w:ascii="Times New Roman" w:hAnsi="Times New Roman"/>
                <w:sz w:val="18"/>
              </w:rPr>
              <w:t xml:space="preserve"> (2005) using firm-level quarterly data from 75 countries for the period 20</w:t>
            </w:r>
            <w:r>
              <w:rPr>
                <w:rFonts w:ascii="Times New Roman" w:hAnsi="Times New Roman"/>
                <w:sz w:val="18"/>
              </w:rPr>
              <w:t>16</w:t>
            </w:r>
            <w:r w:rsidRPr="00993342">
              <w:rPr>
                <w:rFonts w:ascii="Times New Roman" w:hAnsi="Times New Roman"/>
                <w:sz w:val="18"/>
              </w:rPr>
              <w:t>Q1 to 202</w:t>
            </w:r>
            <w:r>
              <w:rPr>
                <w:rFonts w:ascii="Times New Roman" w:hAnsi="Times New Roman"/>
                <w:sz w:val="18"/>
              </w:rPr>
              <w:t>1</w:t>
            </w:r>
            <w:r w:rsidRPr="00993342">
              <w:rPr>
                <w:rFonts w:ascii="Times New Roman" w:hAnsi="Times New Roman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  <w:t>1</w:t>
            </w:r>
            <w:r w:rsidRPr="00993342">
              <w:rPr>
                <w:rFonts w:ascii="Times New Roman" w:hAnsi="Times New Roman"/>
                <w:sz w:val="18"/>
              </w:rPr>
              <w:t xml:space="preserve">. Estimates based on the regression </w:t>
            </w:r>
            <m:oMath>
              <m:r>
                <m:rPr>
                  <m:sty m:val="p"/>
                </m:rPr>
                <w:rPr>
                  <w:rFonts w:ascii="Cambria Math" w:eastAsia="PMingLiU" w:hAnsi="Cambria Math"/>
                  <w:color w:val="0D0D0D" w:themeColor="text1" w:themeTint="F2"/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n,i,t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PMingLiU" w:hAnsi="Cambria Math"/>
                  <w:color w:val="0D0D0D" w:themeColor="text1" w:themeTint="F2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ist</m:t>
                  </m:r>
                </m:sub>
                <m:sup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eastAsia="PMingLiU" w:hAnsi="Cambria Math"/>
                  <w:color w:val="0D0D0D" w:themeColor="text1" w:themeTint="F2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γ</m:t>
                  </m:r>
                </m:e>
                <m: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nq</m:t>
                  </m:r>
                </m:sub>
                <m:sup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eastAsia="PMingLiU" w:hAnsi="Cambria Math"/>
                  <w:color w:val="0D0D0D" w:themeColor="text1" w:themeTint="F2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PMingLiU" w:hAnsi="Cambria Math"/>
                      <w:i/>
                      <w:color w:val="0D0D0D" w:themeColor="text1" w:themeTint="F2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j=-k</m:t>
                  </m:r>
                </m:sub>
                <m:sup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4</m:t>
                  </m:r>
                </m:sup>
                <m:e>
                  <m:sSubSup>
                    <m:sSubSupPr>
                      <m:ctrlPr>
                        <w:rPr>
                          <w:rFonts w:ascii="Cambria Math" w:eastAsia="PMingLiU" w:hAnsi="Cambria Math"/>
                          <w:i/>
                          <w:color w:val="0D0D0D" w:themeColor="text1" w:themeTint="F2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color w:val="0D0D0D" w:themeColor="text1" w:themeTint="F2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i,t-j</m:t>
                      </m:r>
                    </m:sub>
                  </m:s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color w:val="0D0D0D" w:themeColor="text1" w:themeTint="F2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PMingLiU" w:hAnsi="Cambria Math"/>
                          <w:i/>
                          <w:color w:val="0D0D0D" w:themeColor="text1" w:themeTint="F2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4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PMingLiU" w:hAnsi="Cambria Math"/>
                              <w:i/>
                              <w:color w:val="0D0D0D" w:themeColor="text1" w:themeTint="F2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k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i/>
                              <w:color w:val="0D0D0D" w:themeColor="text1" w:themeTint="F2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n,i,t-j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color w:val="0D0D0D" w:themeColor="text1" w:themeTint="F2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n,i,t</m:t>
                          </m:r>
                        </m:sub>
                        <m:sup>
                          <m:r>
                            <w:rPr>
                              <w:rFonts w:ascii="Cambria Math" w:eastAsia="PMingLiU" w:hAnsi="Cambria Math"/>
                              <w:color w:val="0D0D0D" w:themeColor="text1" w:themeTint="F2"/>
                              <w:sz w:val="18"/>
                              <w:szCs w:val="1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oMath>
            <w:r w:rsidRPr="00993342">
              <w:rPr>
                <w:rFonts w:ascii="Times New Roman" w:hAnsi="Times New Roman"/>
                <w:sz w:val="18"/>
              </w:rPr>
              <w:t xml:space="preserve"> for different horizons </w:t>
            </w:r>
            <m:oMath>
              <m:r>
                <w:rPr>
                  <w:rFonts w:ascii="Cambria Math" w:hAnsi="Cambria Math"/>
                  <w:sz w:val="18"/>
                </w:rPr>
                <m:t>k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eastAsia="PMingLiU" w:hAnsi="Cambria Math"/>
                  <w:color w:val="0D0D0D" w:themeColor="text1" w:themeTint="F2"/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n,i,t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="PMingLiU" w:hAnsi="Cambria Math"/>
                      <w:color w:val="0D0D0D" w:themeColor="text1" w:themeTint="F2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rFonts w:ascii="Times New Roman" w:hAnsi="Times New Roman"/>
                <w:color w:val="0D0D0D" w:themeColor="text1" w:themeTint="F2"/>
                <w:sz w:val="18"/>
                <w:szCs w:val="18"/>
              </w:rPr>
              <w:t xml:space="preserve"> i</w:t>
            </w:r>
            <w:proofErr w:type="spellStart"/>
            <w:r w:rsidRPr="00993342">
              <w:rPr>
                <w:rFonts w:ascii="Times New Roman" w:hAnsi="Times New Roman"/>
                <w:sz w:val="18"/>
              </w:rPr>
              <w:t>s</w:t>
            </w:r>
            <w:proofErr w:type="spellEnd"/>
            <w:r w:rsidRPr="00993342">
              <w:rPr>
                <w:rFonts w:ascii="Times New Roman" w:hAnsi="Times New Roman"/>
                <w:sz w:val="18"/>
              </w:rPr>
              <w:t xml:space="preserve"> the log change in revenue of firm 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 in country </w:t>
            </w:r>
            <m:oMath>
              <m:r>
                <w:rPr>
                  <w:rFonts w:ascii="Cambria Math" w:hAnsi="Cambria Math"/>
                  <w:sz w:val="18"/>
                </w:rPr>
                <m:t>i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 at time </w:t>
            </w:r>
            <m:oMath>
              <m:r>
                <w:rPr>
                  <w:rFonts w:ascii="Cambria Math" w:hAnsi="Cambria Math"/>
                  <w:sz w:val="18"/>
                </w:rPr>
                <m:t>t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 over the next </w:t>
            </w:r>
            <m:oMath>
              <m:r>
                <w:rPr>
                  <w:rFonts w:ascii="Cambria Math" w:hAnsi="Cambria Math"/>
                  <w:sz w:val="18"/>
                </w:rPr>
                <m:t>k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 quarters,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i,</m:t>
                  </m:r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oMath>
            <w:r w:rsidRPr="00993342">
              <w:rPr>
                <w:rFonts w:ascii="Times New Roman" w:hAnsi="Times New Roman"/>
                <w:sz w:val="18"/>
              </w:rPr>
              <w:t xml:space="preserve"> is a dummy which takes value 1 at the start of a techn</w:t>
            </w:r>
            <w:proofErr w:type="spellStart"/>
            <w:r w:rsidRPr="00993342">
              <w:rPr>
                <w:rFonts w:ascii="Times New Roman" w:hAnsi="Times New Roman"/>
                <w:sz w:val="18"/>
              </w:rPr>
              <w:t>ical</w:t>
            </w:r>
            <w:proofErr w:type="spellEnd"/>
            <w:r w:rsidRPr="00993342">
              <w:rPr>
                <w:rFonts w:ascii="Times New Roman" w:hAnsi="Times New Roman"/>
                <w:sz w:val="18"/>
              </w:rPr>
              <w:t xml:space="preserve"> recession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405CD">
              <w:rPr>
                <w:rFonts w:ascii="Times New Roman" w:hAnsi="Times New Roman"/>
                <w:sz w:val="18"/>
              </w:rPr>
              <w:t>from 2</w:t>
            </w:r>
            <w:r>
              <w:rPr>
                <w:rFonts w:ascii="Times New Roman" w:hAnsi="Times New Roman"/>
                <w:sz w:val="18"/>
              </w:rPr>
              <w:t>019Q4</w:t>
            </w:r>
            <w:r w:rsidRPr="003405CD">
              <w:rPr>
                <w:rFonts w:ascii="Times New Roman" w:hAnsi="Times New Roman"/>
                <w:sz w:val="18"/>
              </w:rPr>
              <w:t xml:space="preserve"> onwards</w:t>
            </w:r>
            <w:r w:rsidRPr="00993342">
              <w:rPr>
                <w:rFonts w:ascii="Times New Roman" w:hAnsi="Times New Roman"/>
                <w:sz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=D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p>
              </m:sSubSup>
            </m:oMath>
            <w:r w:rsidRPr="00993342">
              <w:rPr>
                <w:rFonts w:ascii="Times New Roman" w:hAnsi="Times New Roman"/>
                <w:sz w:val="18"/>
              </w:rPr>
              <w:t xml:space="preserve"> is the standardized value of the Calvino et al. (2018) measure of industry-wise digitalization,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nq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p>
              </m:sSubSup>
            </m:oMath>
            <w:r w:rsidRPr="00993342">
              <w:rPr>
                <w:rFonts w:ascii="Times New Roman" w:hAnsi="Times New Roman"/>
                <w:sz w:val="18"/>
              </w:rPr>
              <w:t xml:space="preserve"> are firm-quarter fixed effects,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ist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p>
              </m:sSubSup>
            </m:oMath>
            <w:r w:rsidRPr="00993342">
              <w:rPr>
                <w:rFonts w:ascii="Times New Roman" w:hAnsi="Times New Roman"/>
                <w:sz w:val="18"/>
              </w:rPr>
              <w:t xml:space="preserve"> are country-sector-time fixed effects. The regression is estimated separately for different horizons </w:t>
            </w:r>
            <m:oMath>
              <m:r>
                <w:rPr>
                  <w:rFonts w:ascii="Cambria Math" w:hAnsi="Cambria Math"/>
                  <w:sz w:val="18"/>
                </w:rPr>
                <m:t>k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 over a </w:t>
            </w:r>
            <w:r>
              <w:rPr>
                <w:rFonts w:ascii="Times New Roman" w:hAnsi="Times New Roman"/>
                <w:sz w:val="18"/>
              </w:rPr>
              <w:t>five-quarter</w:t>
            </w:r>
            <w:r w:rsidRPr="00993342">
              <w:rPr>
                <w:rFonts w:ascii="Times New Roman" w:hAnsi="Times New Roman"/>
                <w:sz w:val="18"/>
              </w:rPr>
              <w:t xml:space="preserve"> period. The solid line shows the point estimate for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 μ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p>
              </m:sSup>
            </m:oMath>
            <w:r w:rsidRPr="00993342">
              <w:rPr>
                <w:rFonts w:ascii="Times New Roman" w:hAnsi="Times New Roman"/>
                <w:sz w:val="18"/>
              </w:rPr>
              <w:t xml:space="preserve"> for different horizons </w:t>
            </w:r>
            <m:oMath>
              <m:r>
                <w:rPr>
                  <w:rFonts w:ascii="Cambria Math" w:hAnsi="Cambria Math"/>
                  <w:sz w:val="18"/>
                </w:rPr>
                <m:t>k</m:t>
              </m:r>
            </m:oMath>
            <w:r w:rsidRPr="00993342">
              <w:rPr>
                <w:rFonts w:ascii="Times New Roman" w:hAnsi="Times New Roman"/>
                <w:sz w:val="18"/>
              </w:rPr>
              <w:t xml:space="preserve">, </w:t>
            </w:r>
            <w:r w:rsidRPr="002D594D">
              <w:rPr>
                <w:rFonts w:ascii="Times New Roman" w:hAnsi="Times New Roman"/>
                <w:sz w:val="18"/>
              </w:rPr>
              <w:t xml:space="preserve">while the </w:t>
            </w:r>
            <w:r>
              <w:rPr>
                <w:rFonts w:ascii="Times New Roman" w:hAnsi="Times New Roman"/>
                <w:sz w:val="18"/>
              </w:rPr>
              <w:t>dashed</w:t>
            </w:r>
            <w:r w:rsidRPr="002D594D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and dotted </w:t>
            </w:r>
            <w:r w:rsidRPr="002D594D">
              <w:rPr>
                <w:rFonts w:ascii="Times New Roman" w:hAnsi="Times New Roman"/>
                <w:sz w:val="18"/>
              </w:rPr>
              <w:t>lines are the 68 percent and 90 percent confidence intervals</w:t>
            </w:r>
            <w:r>
              <w:rPr>
                <w:rFonts w:ascii="Times New Roman" w:hAnsi="Times New Roman"/>
                <w:sz w:val="18"/>
              </w:rPr>
              <w:t xml:space="preserve"> respectively</w:t>
            </w:r>
            <w:r w:rsidRPr="00993342">
              <w:rPr>
                <w:rFonts w:ascii="Times New Roman" w:hAnsi="Times New Roman"/>
                <w:sz w:val="18"/>
              </w:rPr>
              <w:t>. Standard errors are clustered by firm and country-time.</w:t>
            </w:r>
          </w:p>
        </w:tc>
      </w:tr>
    </w:tbl>
    <w:p w14:paraId="7D2F392D" w14:textId="77777777" w:rsidR="00A85FFB" w:rsidRPr="00E81D0C" w:rsidRDefault="00A85FFB" w:rsidP="003D2B61"/>
    <w:sectPr w:rsidR="00A85FFB" w:rsidRPr="00E81D0C" w:rsidSect="00170414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58B7" w14:textId="77777777" w:rsidR="00B22FB6" w:rsidRDefault="00B22FB6" w:rsidP="000B7010">
      <w:pPr>
        <w:spacing w:line="240" w:lineRule="auto"/>
      </w:pPr>
      <w:r>
        <w:separator/>
      </w:r>
    </w:p>
  </w:endnote>
  <w:endnote w:type="continuationSeparator" w:id="0">
    <w:p w14:paraId="05878376" w14:textId="77777777" w:rsidR="00B22FB6" w:rsidRDefault="00B22FB6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roman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8137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6265" w14:textId="77777777" w:rsidR="00B22FB6" w:rsidRDefault="00B22FB6" w:rsidP="000B7010">
      <w:pPr>
        <w:spacing w:line="240" w:lineRule="auto"/>
      </w:pPr>
      <w:r>
        <w:separator/>
      </w:r>
    </w:p>
  </w:footnote>
  <w:footnote w:type="continuationSeparator" w:id="0">
    <w:p w14:paraId="44B3665C" w14:textId="77777777" w:rsidR="00B22FB6" w:rsidRDefault="00B22FB6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323F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E4B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B6"/>
    <w:rsid w:val="00070765"/>
    <w:rsid w:val="000A1AEE"/>
    <w:rsid w:val="000B7010"/>
    <w:rsid w:val="000F5251"/>
    <w:rsid w:val="00170414"/>
    <w:rsid w:val="001D081E"/>
    <w:rsid w:val="00232FB2"/>
    <w:rsid w:val="00325E95"/>
    <w:rsid w:val="003712A7"/>
    <w:rsid w:val="00382DA8"/>
    <w:rsid w:val="00393E59"/>
    <w:rsid w:val="003C5BF0"/>
    <w:rsid w:val="003D2443"/>
    <w:rsid w:val="003D2B61"/>
    <w:rsid w:val="00451C7E"/>
    <w:rsid w:val="004F3DA7"/>
    <w:rsid w:val="005122F5"/>
    <w:rsid w:val="00527B01"/>
    <w:rsid w:val="00531040"/>
    <w:rsid w:val="005B6103"/>
    <w:rsid w:val="005C0460"/>
    <w:rsid w:val="005F722E"/>
    <w:rsid w:val="0060374F"/>
    <w:rsid w:val="0061550F"/>
    <w:rsid w:val="006C41BB"/>
    <w:rsid w:val="006F658C"/>
    <w:rsid w:val="007F425F"/>
    <w:rsid w:val="007F47DE"/>
    <w:rsid w:val="00807E50"/>
    <w:rsid w:val="00834E6F"/>
    <w:rsid w:val="008A3DEB"/>
    <w:rsid w:val="00A70E79"/>
    <w:rsid w:val="00A85FFB"/>
    <w:rsid w:val="00B22FB6"/>
    <w:rsid w:val="00BB45B2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7CCE"/>
  <w15:chartTrackingRefBased/>
  <w15:docId w15:val="{5F9C452B-841E-48BE-A3FD-62FA6BA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B6"/>
    <w:pPr>
      <w:snapToGrid w:val="0"/>
      <w:spacing w:after="0" w:line="300" w:lineRule="auto"/>
    </w:pPr>
    <w:rPr>
      <w:rFonts w:ascii="Arial" w:eastAsia="Times New Roman" w:hAnsi="Arial" w:cs="Times New Roman"/>
      <w:sz w:val="19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pacing w:before="480" w:after="120"/>
      <w:outlineLvl w:val="1"/>
    </w:pPr>
    <w:rPr>
      <w:rFonts w:eastAsia="Century Gothic" w:cs="Arial (Body)"/>
      <w:b/>
      <w:caps/>
      <w:color w:val="009CDE"/>
      <w:sz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pacing w:before="240"/>
      <w:outlineLvl w:val="2"/>
    </w:pPr>
    <w:rPr>
      <w:rFonts w:eastAsiaTheme="majorEastAsia" w:cstheme="majorBidi"/>
      <w:caps/>
      <w:color w:val="707372"/>
      <w:sz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napToGrid/>
      <w:spacing w:before="160" w:after="240"/>
      <w:outlineLvl w:val="3"/>
    </w:pPr>
    <w:rPr>
      <w:rFonts w:eastAsiaTheme="minorHAnsi"/>
      <w:b/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napToGrid/>
      <w:spacing w:before="160" w:after="240"/>
      <w:outlineLvl w:val="4"/>
    </w:pPr>
    <w:rPr>
      <w:rFonts w:eastAsiaTheme="minorHAnsi"/>
      <w:bCs/>
      <w:i/>
      <w:iCs/>
      <w:sz w:val="20"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snapToGrid/>
      <w:spacing w:before="160"/>
      <w:outlineLvl w:val="5"/>
    </w:pPr>
    <w:rPr>
      <w:rFonts w:eastAsiaTheme="minorHAnsi"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snapToGrid/>
      <w:spacing w:before="160"/>
      <w:outlineLvl w:val="6"/>
    </w:pPr>
    <w:rPr>
      <w:rFonts w:eastAsiaTheme="minorHAnsi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8"/>
    <w:rsid w:val="008A3DEB"/>
    <w:pPr>
      <w:snapToGrid/>
      <w:spacing w:before="160"/>
      <w:outlineLvl w:val="7"/>
    </w:pPr>
    <w:rPr>
      <w:rFonts w:eastAsiaTheme="minorHAnsi"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snapToGrid/>
      <w:spacing w:before="160"/>
      <w:outlineLvl w:val="8"/>
    </w:pPr>
    <w:rPr>
      <w:rFonts w:eastAsiaTheme="minorHAnsi"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snapToGrid/>
      <w:spacing w:before="160"/>
      <w:jc w:val="center"/>
    </w:pPr>
    <w:rPr>
      <w:rFonts w:eastAsiaTheme="minorHAnsi"/>
      <w:b/>
      <w:sz w:val="20"/>
      <w:szCs w:val="24"/>
    </w:rPr>
  </w:style>
  <w:style w:type="paragraph" w:styleId="BodyText">
    <w:name w:val="Body Text"/>
    <w:basedOn w:val="Normal"/>
    <w:link w:val="BodyTextChar"/>
    <w:uiPriority w:val="8"/>
    <w:rsid w:val="008A3DEB"/>
    <w:pPr>
      <w:snapToGrid/>
      <w:spacing w:before="160" w:after="120"/>
    </w:pPr>
    <w:rPr>
      <w:rFonts w:eastAsiaTheme="minorHAnsi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  <w:snapToGrid/>
      <w:spacing w:before="160"/>
    </w:pPr>
    <w:rPr>
      <w:rFonts w:eastAsiaTheme="minorHAnsi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napToGrid/>
      <w:spacing w:before="160" w:after="200"/>
    </w:pPr>
    <w:rPr>
      <w:rFonts w:eastAsiaTheme="minorHAns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  <w:snapToGrid/>
      <w:spacing w:before="160"/>
    </w:pPr>
    <w:rPr>
      <w:rFonts w:eastAsiaTheme="minorHAnsi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snapToGrid/>
      <w:spacing w:before="160"/>
      <w:ind w:left="720" w:hanging="720"/>
    </w:pPr>
    <w:rPr>
      <w:rFonts w:eastAsiaTheme="minorHAnsi"/>
      <w:sz w:val="20"/>
      <w:szCs w:val="24"/>
    </w:rPr>
  </w:style>
  <w:style w:type="paragraph" w:styleId="Index1">
    <w:name w:val="index 1"/>
    <w:basedOn w:val="Normal"/>
    <w:next w:val="Normal"/>
    <w:uiPriority w:val="8"/>
    <w:rsid w:val="008A3DEB"/>
    <w:pPr>
      <w:snapToGrid/>
      <w:spacing w:before="160"/>
      <w:ind w:left="240" w:hanging="240"/>
    </w:pPr>
    <w:rPr>
      <w:rFonts w:eastAsiaTheme="minorHAnsi"/>
      <w:sz w:val="20"/>
      <w:szCs w:val="24"/>
    </w:rPr>
  </w:style>
  <w:style w:type="paragraph" w:styleId="Index2">
    <w:name w:val="index 2"/>
    <w:basedOn w:val="Normal"/>
    <w:next w:val="Normal"/>
    <w:uiPriority w:val="8"/>
    <w:rsid w:val="008A3DEB"/>
    <w:pPr>
      <w:snapToGrid/>
      <w:spacing w:before="160"/>
      <w:ind w:left="480" w:hanging="240"/>
    </w:pPr>
    <w:rPr>
      <w:rFonts w:eastAsiaTheme="minorHAnsi"/>
      <w:sz w:val="20"/>
      <w:szCs w:val="24"/>
    </w:rPr>
  </w:style>
  <w:style w:type="paragraph" w:styleId="Index3">
    <w:name w:val="index 3"/>
    <w:basedOn w:val="Normal"/>
    <w:next w:val="Normal"/>
    <w:uiPriority w:val="8"/>
    <w:rsid w:val="008A3DEB"/>
    <w:pPr>
      <w:snapToGrid/>
      <w:spacing w:before="160"/>
      <w:ind w:left="720" w:hanging="240"/>
    </w:pPr>
    <w:rPr>
      <w:rFonts w:eastAsiaTheme="minorHAnsi"/>
      <w:sz w:val="20"/>
      <w:szCs w:val="24"/>
    </w:rPr>
  </w:style>
  <w:style w:type="paragraph" w:styleId="Index4">
    <w:name w:val="index 4"/>
    <w:basedOn w:val="Normal"/>
    <w:next w:val="Normal"/>
    <w:uiPriority w:val="8"/>
    <w:rsid w:val="008A3DEB"/>
    <w:pPr>
      <w:snapToGrid/>
      <w:spacing w:before="160"/>
      <w:ind w:left="960" w:hanging="240"/>
    </w:pPr>
    <w:rPr>
      <w:rFonts w:eastAsiaTheme="minorHAnsi"/>
      <w:sz w:val="20"/>
      <w:szCs w:val="24"/>
    </w:rPr>
  </w:style>
  <w:style w:type="paragraph" w:styleId="Index5">
    <w:name w:val="index 5"/>
    <w:basedOn w:val="Normal"/>
    <w:next w:val="Normal"/>
    <w:uiPriority w:val="8"/>
    <w:rsid w:val="008A3DEB"/>
    <w:pPr>
      <w:snapToGrid/>
      <w:spacing w:before="160"/>
      <w:ind w:left="1200" w:hanging="240"/>
    </w:pPr>
    <w:rPr>
      <w:rFonts w:eastAsiaTheme="minorHAnsi"/>
      <w:sz w:val="20"/>
      <w:szCs w:val="24"/>
    </w:rPr>
  </w:style>
  <w:style w:type="paragraph" w:styleId="Index6">
    <w:name w:val="index 6"/>
    <w:basedOn w:val="Normal"/>
    <w:next w:val="Normal"/>
    <w:uiPriority w:val="8"/>
    <w:rsid w:val="008A3DEB"/>
    <w:pPr>
      <w:snapToGrid/>
      <w:spacing w:before="160"/>
      <w:ind w:left="1440" w:hanging="240"/>
    </w:pPr>
    <w:rPr>
      <w:rFonts w:eastAsiaTheme="minorHAnsi"/>
      <w:sz w:val="20"/>
      <w:szCs w:val="24"/>
    </w:rPr>
  </w:style>
  <w:style w:type="paragraph" w:styleId="Index7">
    <w:name w:val="index 7"/>
    <w:basedOn w:val="Normal"/>
    <w:next w:val="Normal"/>
    <w:uiPriority w:val="8"/>
    <w:rsid w:val="008A3DEB"/>
    <w:pPr>
      <w:snapToGrid/>
      <w:spacing w:before="160"/>
      <w:ind w:left="1680" w:hanging="240"/>
    </w:pPr>
    <w:rPr>
      <w:rFonts w:eastAsiaTheme="minorHAnsi"/>
      <w:sz w:val="20"/>
      <w:szCs w:val="24"/>
    </w:rPr>
  </w:style>
  <w:style w:type="paragraph" w:styleId="Index8">
    <w:name w:val="index 8"/>
    <w:basedOn w:val="Normal"/>
    <w:next w:val="Normal"/>
    <w:uiPriority w:val="8"/>
    <w:rsid w:val="008A3DEB"/>
    <w:pPr>
      <w:snapToGrid/>
      <w:spacing w:before="160"/>
      <w:ind w:left="1920" w:hanging="240"/>
    </w:pPr>
    <w:rPr>
      <w:rFonts w:eastAsiaTheme="minorHAnsi"/>
      <w:sz w:val="20"/>
      <w:szCs w:val="24"/>
    </w:rPr>
  </w:style>
  <w:style w:type="paragraph" w:styleId="Index9">
    <w:name w:val="index 9"/>
    <w:basedOn w:val="Normal"/>
    <w:next w:val="Normal"/>
    <w:uiPriority w:val="8"/>
    <w:rsid w:val="008A3DEB"/>
    <w:pPr>
      <w:snapToGrid/>
      <w:spacing w:before="160"/>
      <w:ind w:left="2160" w:hanging="240"/>
    </w:pPr>
    <w:rPr>
      <w:rFonts w:eastAsiaTheme="minorHAnsi"/>
      <w:sz w:val="20"/>
      <w:szCs w:val="24"/>
    </w:r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  <w:snapToGrid/>
      <w:spacing w:before="160"/>
    </w:pPr>
    <w:rPr>
      <w:rFonts w:eastAsiaTheme="minorHAnsi"/>
      <w:sz w:val="20"/>
      <w:szCs w:val="24"/>
    </w:rPr>
  </w:style>
  <w:style w:type="paragraph" w:styleId="ListBullet2">
    <w:name w:val="List Bullet 2"/>
    <w:basedOn w:val="Normal"/>
    <w:uiPriority w:val="8"/>
    <w:rsid w:val="008A3DEB"/>
    <w:pPr>
      <w:numPr>
        <w:numId w:val="6"/>
      </w:numPr>
      <w:snapToGrid/>
      <w:spacing w:before="160"/>
    </w:pPr>
    <w:rPr>
      <w:rFonts w:eastAsiaTheme="minorHAnsi"/>
      <w:sz w:val="20"/>
      <w:szCs w:val="24"/>
    </w:rPr>
  </w:style>
  <w:style w:type="paragraph" w:styleId="ListBullet3">
    <w:name w:val="List Bullet 3"/>
    <w:basedOn w:val="Normal"/>
    <w:uiPriority w:val="8"/>
    <w:rsid w:val="008A3DEB"/>
    <w:pPr>
      <w:numPr>
        <w:numId w:val="8"/>
      </w:numPr>
      <w:snapToGrid/>
      <w:spacing w:before="160"/>
    </w:pPr>
    <w:rPr>
      <w:rFonts w:eastAsiaTheme="minorHAnsi"/>
      <w:sz w:val="20"/>
      <w:szCs w:val="24"/>
    </w:r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  <w:snapToGrid/>
      <w:spacing w:before="160"/>
    </w:pPr>
    <w:rPr>
      <w:rFonts w:eastAsiaTheme="minorHAnsi"/>
      <w:sz w:val="20"/>
      <w:szCs w:val="24"/>
    </w:r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  <w:snapToGrid/>
      <w:spacing w:before="160"/>
    </w:pPr>
    <w:rPr>
      <w:rFonts w:eastAsiaTheme="minorHAnsi"/>
      <w:sz w:val="20"/>
      <w:szCs w:val="24"/>
    </w:r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snapToGrid/>
      <w:spacing w:before="160"/>
      <w:contextualSpacing/>
    </w:pPr>
    <w:rPr>
      <w:rFonts w:eastAsiaTheme="minorHAnsi"/>
      <w:sz w:val="20"/>
      <w:szCs w:val="24"/>
    </w:r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pacing w:before="160"/>
      <w:contextualSpacing/>
    </w:pPr>
    <w:rPr>
      <w:rFonts w:eastAsia="Century Gothic" w:cs="Arial"/>
      <w:color w:val="000000" w:themeColor="text1"/>
      <w:sz w:val="20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  <w:snapToGrid/>
      <w:spacing w:before="160"/>
    </w:pPr>
    <w:rPr>
      <w:rFonts w:eastAsiaTheme="minorHAnsi"/>
      <w:sz w:val="20"/>
      <w:szCs w:val="24"/>
    </w:rPr>
  </w:style>
  <w:style w:type="paragraph" w:styleId="Title">
    <w:name w:val="Title"/>
    <w:basedOn w:val="Normal"/>
    <w:link w:val="TitleChar"/>
    <w:uiPriority w:val="8"/>
    <w:rsid w:val="008A3DEB"/>
    <w:pPr>
      <w:snapToGrid/>
      <w:spacing w:before="240" w:after="60"/>
      <w:jc w:val="center"/>
      <w:outlineLvl w:val="0"/>
    </w:pPr>
    <w:rPr>
      <w:rFonts w:eastAsiaTheme="minorHAnsi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  <w:pPr>
      <w:snapToGrid/>
      <w:spacing w:before="160"/>
    </w:pPr>
    <w:rPr>
      <w:rFonts w:eastAsiaTheme="minorHAnsi"/>
      <w:sz w:val="20"/>
      <w:szCs w:val="24"/>
    </w:rPr>
  </w:style>
  <w:style w:type="paragraph" w:styleId="TOC2">
    <w:name w:val="toc 2"/>
    <w:basedOn w:val="Normal"/>
    <w:next w:val="Normal"/>
    <w:uiPriority w:val="8"/>
    <w:rsid w:val="008A3DEB"/>
    <w:pPr>
      <w:snapToGrid/>
      <w:spacing w:before="160"/>
      <w:ind w:left="240"/>
    </w:pPr>
    <w:rPr>
      <w:rFonts w:eastAsiaTheme="minorHAnsi"/>
      <w:sz w:val="20"/>
      <w:szCs w:val="24"/>
    </w:rPr>
  </w:style>
  <w:style w:type="paragraph" w:styleId="TOC3">
    <w:name w:val="toc 3"/>
    <w:basedOn w:val="Normal"/>
    <w:next w:val="Normal"/>
    <w:uiPriority w:val="8"/>
    <w:rsid w:val="008A3DEB"/>
    <w:pPr>
      <w:snapToGrid/>
      <w:spacing w:before="160"/>
      <w:ind w:left="480"/>
    </w:pPr>
    <w:rPr>
      <w:rFonts w:eastAsiaTheme="minorHAnsi"/>
      <w:sz w:val="20"/>
      <w:szCs w:val="24"/>
    </w:rPr>
  </w:style>
  <w:style w:type="paragraph" w:styleId="TOC4">
    <w:name w:val="toc 4"/>
    <w:basedOn w:val="Normal"/>
    <w:next w:val="Normal"/>
    <w:uiPriority w:val="8"/>
    <w:rsid w:val="008A3DEB"/>
    <w:pPr>
      <w:snapToGrid/>
      <w:spacing w:before="160"/>
      <w:ind w:left="720"/>
    </w:pPr>
    <w:rPr>
      <w:rFonts w:eastAsiaTheme="minorHAnsi"/>
      <w:sz w:val="20"/>
      <w:szCs w:val="24"/>
    </w:rPr>
  </w:style>
  <w:style w:type="paragraph" w:styleId="TOC5">
    <w:name w:val="toc 5"/>
    <w:basedOn w:val="Normal"/>
    <w:next w:val="Normal"/>
    <w:uiPriority w:val="8"/>
    <w:rsid w:val="008A3DEB"/>
    <w:pPr>
      <w:snapToGrid/>
      <w:spacing w:before="160"/>
      <w:ind w:left="960"/>
    </w:pPr>
    <w:rPr>
      <w:rFonts w:eastAsiaTheme="minorHAnsi"/>
      <w:sz w:val="20"/>
      <w:szCs w:val="24"/>
    </w:rPr>
  </w:style>
  <w:style w:type="paragraph" w:styleId="TOC6">
    <w:name w:val="toc 6"/>
    <w:basedOn w:val="Normal"/>
    <w:next w:val="Normal"/>
    <w:uiPriority w:val="8"/>
    <w:rsid w:val="008A3DEB"/>
    <w:pPr>
      <w:snapToGrid/>
      <w:spacing w:before="160"/>
      <w:ind w:left="1200"/>
    </w:pPr>
    <w:rPr>
      <w:rFonts w:eastAsiaTheme="minorHAnsi"/>
      <w:sz w:val="20"/>
      <w:szCs w:val="24"/>
    </w:rPr>
  </w:style>
  <w:style w:type="paragraph" w:styleId="TOC7">
    <w:name w:val="toc 7"/>
    <w:basedOn w:val="Normal"/>
    <w:next w:val="Normal"/>
    <w:uiPriority w:val="8"/>
    <w:rsid w:val="008A3DEB"/>
    <w:pPr>
      <w:snapToGrid/>
      <w:spacing w:before="160"/>
      <w:ind w:left="1440"/>
    </w:pPr>
    <w:rPr>
      <w:rFonts w:eastAsiaTheme="minorHAnsi"/>
      <w:sz w:val="20"/>
      <w:szCs w:val="24"/>
    </w:rPr>
  </w:style>
  <w:style w:type="paragraph" w:styleId="TOC8">
    <w:name w:val="toc 8"/>
    <w:basedOn w:val="Normal"/>
    <w:next w:val="Normal"/>
    <w:uiPriority w:val="8"/>
    <w:rsid w:val="008A3DEB"/>
    <w:pPr>
      <w:snapToGrid/>
      <w:spacing w:before="160"/>
      <w:ind w:left="1680"/>
    </w:pPr>
    <w:rPr>
      <w:rFonts w:eastAsiaTheme="minorHAnsi"/>
      <w:sz w:val="20"/>
      <w:szCs w:val="24"/>
    </w:rPr>
  </w:style>
  <w:style w:type="paragraph" w:styleId="TOC9">
    <w:name w:val="toc 9"/>
    <w:basedOn w:val="Normal"/>
    <w:next w:val="Normal"/>
    <w:uiPriority w:val="8"/>
    <w:rsid w:val="008A3DEB"/>
    <w:pPr>
      <w:snapToGrid/>
      <w:spacing w:before="160"/>
      <w:ind w:left="1920"/>
    </w:pPr>
    <w:rPr>
      <w:rFonts w:eastAsiaTheme="minorHAnsi"/>
      <w:sz w:val="20"/>
      <w:szCs w:val="24"/>
    </w:r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pacing w:before="160"/>
      <w:ind w:left="200" w:right="200"/>
    </w:pPr>
    <w:rPr>
      <w:rFonts w:eastAsia="Century Gothic" w:cs="Arial"/>
      <w:color w:val="000000" w:themeColor="text1"/>
      <w:sz w:val="20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  <w:style w:type="table" w:customStyle="1" w:styleId="TableGrid3">
    <w:name w:val="Table Grid3"/>
    <w:basedOn w:val="TableNormal"/>
    <w:next w:val="TableGrid"/>
    <w:uiPriority w:val="39"/>
    <w:rsid w:val="00B22FB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2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Copestake, Alexander Leo</dc:creator>
  <cp:keywords/>
  <dc:description/>
  <cp:lastModifiedBy>Copestake, Alexander Leo</cp:lastModifiedBy>
  <cp:revision>1</cp:revision>
  <dcterms:created xsi:type="dcterms:W3CDTF">2022-10-03T22:28:00Z</dcterms:created>
  <dcterms:modified xsi:type="dcterms:W3CDTF">2022-10-03T22:31:00Z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2022-10-03T22:28:49Z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90fb4a18-1ed4-446b-84e3-bbac4f7b1147</vt:lpwstr>
  </property>
  <property fmtid="{D5CDD505-2E9C-101B-9397-08002B2CF9AE}" pid="8" name="MSIP_Label_0c07ed86-5dc5-4593-ad03-a8684b843815_ContentBits">
    <vt:lpwstr>0</vt:lpwstr>
  </property>
</Properties>
</file>