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Supplementary Table XX: Assay based statistical comparison of fold changes from WT/D614G to BA.1. A t-test was performed to compare pseudovirus (PV) and live virus (LV) assessed fold changes in different serum groups. Normality was checked with a Shapiro-Wilk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-4.39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51.4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5.66e-05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0.00543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88.1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Beta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0.416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Vax + BA.1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0.471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0.657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</w:tbl>
    <w:p>
      <w:pPr>
        <w:pStyle w:val="Normal"/>
      </w:pPr>
      <w:r>
        <w:t xml:space="preserve">Supplementary Table XX: Assay based statistical comparison of fold changes from WT/D614G to BA.1. A Wilcoxon-test was performed to compare pseudovirus (PV) and live virus (LV) assessed fold changes in different serum groups. Normality was checked with a Shapiro-Wilk test.</w:t>
      </w:r>
    </w:p>
    <w:tbl xmlns:a="http://schemas.openxmlformats.org/drawingml/2006/main" xmlns:pic="http://schemas.openxmlformats.org/drawingml/2006/picture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Group 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 + Vax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BA.1 conv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Fold change from WT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0.786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120" w:line="240"/>
              <w:ind w:left="1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antonia</cp:lastModifiedBy>
  <cp:revision>9</cp:revision>
  <dcterms:created xsi:type="dcterms:W3CDTF">2017-02-28T11:18:00Z</dcterms:created>
  <dcterms:modified xsi:type="dcterms:W3CDTF">2024-05-14T15:28:47Z</dcterms:modified>
  <cp:category/>
</cp:coreProperties>
</file>