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C3343E"/>
          <w:sz w:val="36"/>
          <w:szCs w:val="36"/>
        </w:rPr>
        <w:t xml:space="preserve">INSTRUMENTO DE EVALUACIÓN DE CALIDAD DE SOFTWARE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i/>
          <w:iCs/>
          <w:color w:val="1A365D"/>
          <w:sz w:val="24"/>
          <w:szCs w:val="24"/>
        </w:rPr>
        <w:t xml:space="preserve">Medición de Calidad Bajo el Estándar Internacional ISO/IEC 25010 (SQuaRE)</w:t>
      </w:r>
    </w:p>
    <w:tbl>
      <w:tblPr>
        <w:tblW w:type="dxa" w:w="9360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EDF2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Software Evaluado:</w:t>
            </w:r>
          </w:p>
        </w:tc>
        <w:tc>
          <w:tcPr>
            <w:tcW w:type="dxa" w:w="702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YogurASO - Sistema Web de Comercio Electrónico y Gestión</w:t>
            </w:r>
          </w:p>
        </w:tc>
      </w:tr>
      <w:tr>
        <w:tc>
          <w:tcPr>
            <w:tcW w:type="dxa" w:w="234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EDF2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Versión:</w:t>
            </w:r>
          </w:p>
        </w:tc>
        <w:tc>
          <w:tcPr>
            <w:tcW w:type="dxa" w:w="702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1.0.0 (Release de Producción)</w:t>
            </w:r>
          </w:p>
        </w:tc>
      </w:tr>
      <w:tr>
        <w:tc>
          <w:tcPr>
            <w:tcW w:type="dxa" w:w="234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EDF2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Fecha de Evaluación:</w:t>
            </w:r>
          </w:p>
        </w:tc>
        <w:tc>
          <w:tcPr>
            <w:tcW w:type="dxa" w:w="702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4 de octubre de 2026</w:t>
            </w:r>
          </w:p>
        </w:tc>
      </w:tr>
      <w:tr>
        <w:tc>
          <w:tcPr>
            <w:tcW w:type="dxa" w:w="234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EDF2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Evaluador Responsable:</w:t>
            </w:r>
          </w:p>
        </w:tc>
        <w:tc>
          <w:tcPr>
            <w:tcW w:type="dxa" w:w="702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Juan Esteban Acosta</w:t>
            </w:r>
          </w:p>
        </w:tc>
      </w:tr>
      <w:tr>
        <w:tc>
          <w:tcPr>
            <w:tcW w:type="dxa" w:w="234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EDF2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Organización / Contexto:</w:t>
            </w:r>
          </w:p>
        </w:tc>
        <w:tc>
          <w:tcPr>
            <w:tcW w:type="dxa" w:w="702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YogurASO Artesanal — Tello y Neiva, Huila</w:t>
            </w:r>
          </w:p>
        </w:tc>
      </w:tr>
    </w:tbl>
    <w:p>
      <w:pPr>
        <w:spacing w:after="100" w:before="200"/>
      </w:pPr>
    </w:p>
    <w:p>
      <w:pPr>
        <w:pStyle w:val="Heading1"/>
        <w:spacing w:after="80" w:before="200"/>
      </w:pPr>
      <w:r>
        <w:rPr>
          <w:rFonts w:ascii="Calibri" w:cs="Calibri" w:eastAsia="Calibri" w:hAnsi="Calibri"/>
          <w:b/>
          <w:bCs/>
          <w:color w:val="1A365D"/>
          <w:sz w:val="28"/>
          <w:szCs w:val="28"/>
        </w:rPr>
        <w:t xml:space="preserve">1. Introducción y Marco Teórico</w:t>
      </w:r>
    </w:p>
    <w:p>
      <w:r>
        <w:t xml:space="preserve">El presente instrumento establece la metodología formal y técnica para evaluar la calidad del software del aplicativo web </w:t>
      </w:r>
      <w:r>
        <w:rPr>
          <w:b/>
          <w:bCs/>
        </w:rPr>
        <w:t xml:space="preserve">YogurASO (v1.0.0)</w:t>
      </w:r>
      <w:r>
        <w:t xml:space="preserve">, tomando como referencia el modelo de calidad de producto de software definido en la norma internacional </w:t>
      </w:r>
      <w:r>
        <w:rPr>
          <w:b/>
          <w:bCs/>
        </w:rPr>
        <w:t xml:space="preserve">ISO/IEC 25010 (Systems and software engineering — Systems and software Quality Requirements and Evaluation - SQuaRE)</w:t>
      </w:r>
      <w:r>
        <w:t xml:space="preserve">. Este estándar descompone la calidad en ocho características fundamentales: Adecuación Funcional, Fiabilidad, Usabilidad, Eficiencia en el Rendimiento, Mantenibilidad, Seguridad, Compatibilidad y Portabilidad.</w:t>
      </w:r>
    </w:p>
    <w:p>
      <w:r>
        <w:t xml:space="preserve">El propósito primordial es contrastar cuantitativa y cualitativamente los requisitos de software implementados contra indicadores clave de rendimiento (KPIs), verificando el nivel de cumplimiento para garantizar una experiencia óptima al consumidor final y una administración robusta del negocio.</w:t>
      </w:r>
    </w:p>
    <w:p>
      <w:pPr>
        <w:pStyle w:val="Heading1"/>
        <w:spacing w:after="80" w:before="200"/>
      </w:pPr>
      <w:r>
        <w:rPr>
          <w:rFonts w:ascii="Calibri" w:cs="Calibri" w:eastAsia="Calibri" w:hAnsi="Calibri"/>
          <w:b/>
          <w:bCs/>
          <w:color w:val="1A365D"/>
          <w:sz w:val="28"/>
          <w:szCs w:val="28"/>
        </w:rPr>
        <w:t xml:space="preserve">2. Metodología de Medición y Criterio de Selección</w:t>
      </w:r>
    </w:p>
    <w:p>
      <w:r>
        <w:t xml:space="preserve">Conforme a las directrices de aseguramiento de calidad, se seleccionaron </w:t>
      </w:r>
      <w:r>
        <w:rPr>
          <w:b/>
          <w:bCs/>
        </w:rPr>
        <w:t xml:space="preserve">exactamente dos (2) criterios aprobados y verificados</w:t>
      </w:r>
      <w:r>
        <w:t xml:space="preserve"> por cada una de las ocho dimensiones de la norma ISO/IEC 25010, consolidando un total de </w:t>
      </w:r>
      <w:r>
        <w:rPr>
          <w:b/>
          <w:bCs/>
        </w:rPr>
        <w:t xml:space="preserve">16 criterios de evaluación técnica</w:t>
      </w:r>
      <w:r>
        <w:t xml:space="preserve">. Para cada criterio se estructuró una ficha formal que define las variables de entrada (Datos), la formulación matemática normalizada del KPI, la escala semafórica de aceptación y el estado final resultante.</w:t>
      </w:r>
    </w:p>
    <w:p>
      <w:r>
        <w:rPr>
          <w:b/>
          <w:bCs/>
        </w:rPr>
        <w:t xml:space="preserve">Criterio de Semaforización: </w:t>
      </w:r>
      <w:r>
        <w:t xml:space="preserve">🟢 Nivel Aceptable/Cumplimiento Excelente (90% – 100%), </w:t>
      </w:r>
      <w:r>
        <w:t xml:space="preserve">🟡 Nivel de Alerta/Aceptable con Observaciones (70% – 89%), </w:t>
      </w:r>
      <w:r>
        <w:t xml:space="preserve">🔴 Nivel Crítico/No Cumple (0% – 69%).</w:t>
      </w:r>
    </w:p>
    <w:p>
      <w:pPr>
        <w:spacing w:after="100" w:before="150"/>
      </w:pP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A365D"/>
          <w:sz w:val="28"/>
          <w:szCs w:val="28"/>
        </w:rPr>
        <w:t xml:space="preserve">3. Matriz de Evaluación de Calidad — Los 16 Criterios Aprobados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2000"/>
        <w:gridCol w:w="1960"/>
        <w:gridCol w:w="900"/>
        <w:gridCol w:w="800"/>
      </w:tblGrid>
      <w:tr>
        <w:tc>
          <w:tcPr>
            <w:tcW w:type="dxa" w:w="1500"/>
            <w:tcBorders>
              <w:top w:val="single" w:color="1A365D" w:sz="6"/>
              <w:left w:val="single" w:color="1A365D" w:sz="6"/>
              <w:bottom w:val="single" w:color="1A365D" w:sz="6"/>
              <w:right w:val="single" w:color="1A365D" w:sz="6"/>
            </w:tcBorders>
            <w:shd w:fill="2B6CB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2200"/>
            <w:tcBorders>
              <w:top w:val="single" w:color="1A365D" w:sz="6"/>
              <w:left w:val="single" w:color="1A365D" w:sz="6"/>
              <w:bottom w:val="single" w:color="1A365D" w:sz="6"/>
              <w:right w:val="single" w:color="1A365D" w:sz="6"/>
            </w:tcBorders>
            <w:shd w:fill="2B6CB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2000"/>
            <w:tcBorders>
              <w:top w:val="single" w:color="1A365D" w:sz="6"/>
              <w:left w:val="single" w:color="1A365D" w:sz="6"/>
              <w:bottom w:val="single" w:color="1A365D" w:sz="6"/>
              <w:right w:val="single" w:color="1A365D" w:sz="6"/>
            </w:tcBorders>
            <w:shd w:fill="2B6CB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Datos</w:t>
            </w:r>
          </w:p>
        </w:tc>
        <w:tc>
          <w:tcPr>
            <w:tcW w:type="dxa" w:w="1960"/>
            <w:tcBorders>
              <w:top w:val="single" w:color="1A365D" w:sz="6"/>
              <w:left w:val="single" w:color="1A365D" w:sz="6"/>
              <w:bottom w:val="single" w:color="1A365D" w:sz="6"/>
              <w:right w:val="single" w:color="1A365D" w:sz="6"/>
            </w:tcBorders>
            <w:shd w:fill="2B6CB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Fórmula</w:t>
            </w:r>
          </w:p>
        </w:tc>
        <w:tc>
          <w:tcPr>
            <w:tcW w:type="dxa" w:w="900"/>
            <w:tcBorders>
              <w:top w:val="single" w:color="1A365D" w:sz="6"/>
              <w:left w:val="single" w:color="1A365D" w:sz="6"/>
              <w:bottom w:val="single" w:color="1A365D" w:sz="6"/>
              <w:right w:val="single" w:color="1A365D" w:sz="6"/>
            </w:tcBorders>
            <w:shd w:fill="2B6CB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Escala</w:t>
            </w:r>
          </w:p>
        </w:tc>
        <w:tc>
          <w:tcPr>
            <w:tcW w:type="dxa" w:w="800"/>
            <w:tcBorders>
              <w:top w:val="single" w:color="1A365D" w:sz="6"/>
              <w:left w:val="single" w:color="1A365D" w:sz="6"/>
              <w:bottom w:val="single" w:color="1A365D" w:sz="6"/>
              <w:right w:val="single" w:color="1A365D" w:sz="6"/>
            </w:tcBorders>
            <w:shd w:fill="2B6CB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1. Adecuación Funcional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Disponibilidad y visualización íntegra del catálogo de productos con nombre, imagen, precio y categoría.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Productos con ficha completa y visible en cliente (8)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productos activos en el catálogo (8)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(8 / 8) * 100 = 100%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1. Adecuación Funcional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Integridad transaccional del carrito de compras (Agregar, modificar cantidades, eliminar y vaciar pedido).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Operaciones de carrito ejecutadas exitosamente (12)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pruebas de mutación de carrito planificadas (12)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(12 / 12) * 100 = 100%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2. Fiabilidad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Tasa de persistencia del estado del carrito ante recarga de página o cierre de pestaña (localStorage).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Sesiones con carrito recuperado íntegro tras recarga (20)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sesiones evaluadas en navegador (20)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(20 / 20) * 100 = 100%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2. Fiabilidad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Disponibilidad continua del enlace a la base de datos PostgreSQL mediante endpoint de monitoreo /api/health.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Consultas a /api/health con status 200 OK y enlace DB (50)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solicitudes de diagnóstico enviadas (50)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(50 / 50) * 100 = 100%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3. Usabilidad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Adaptabilidad y claridad ergonómica del menú de navegación (Escritorio vs. Drawer móvil responsivo).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Viewports con navegación plenamente operable y visible (10)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anchos de pantalla testeados (320px a 1920px) (10)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(10 / 10) * 100 = 100%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3. Usabilidad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Eficacia y simplicidad en la ruta de conversión de pedido (Catálogo -&gt; Carrito -&gt; Envío WhatsApp en &lt;= 3 pasos).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Flujos de compra que culminaron en WhatsApp con éxito (15)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pruebas de usuario simuladas en checkout (15)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(15 / 15) * 100 = 100%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4. Eficiencia en el Rendimiento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Velocidad de filtrado, búsqueda instantánea y categorización de productos en cliente sin peticiones al servidor.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Consultas de filtro resueltas en memoria en &lt; 50 ms (30)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búsquedas y cambios de categoría evaluados (30)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(30 / 30) * 100 = 100%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4. Eficiencia en el Rendimiento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Eficacia de precarga inteligente de imágenes de botellas y transiciones dinámicas de sabor en tiempo real.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Transiciones de sabor renderizadas sin saltos visuales (24)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cambios de producto ejecutados en Hero y carrusel (24)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(24 / 24) * 100 = 100%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5. Mantenibilidad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Modularidad arquitectónica del código (Separación estricta frontend, backend y database con responsabilidades únicas).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Módulos con alta cohesión y desacoplamiento verificado (18)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módulos y componentes del sistema (18)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(18 / 18) * 100 = 100%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5. Mantenibilidad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Autonomía de administración de catálogo sin modificación de código fuente (Panel CRUD para el Administrador).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Operaciones CRUD de productos ejecutadas exitosamente vía web (4)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operaciones CRUD requeridas (Crear, Leer, Editar, Borrar) (4)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(4 / 4) * 100 = 100%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6. Seguridad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Protección criptográfica irreversible de credenciales de acceso mediante hash bcrypt con salting.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Contraseñas almacenadas bajo estándar bcrypt en base de datos (100%)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cuentas registradas en el sistema evaluadas (100%)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(100% hashes verificados)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6. Seguridad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Cobertura de protección en rutas y endpoints privados mediante tokens JWT y validación de rol de administrador.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Peticiones no autorizadas rechazadas estrictamente con HTTP 401/403 (25)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intentos simulados de acceso indebido a rutas de admin (25)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(25 / 25) * 100 = 100%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7. Compatibilidad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Integración efectiva con servicios externos multiplataforma (WhatsApp Web/App y Google OAuth 2.0).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Enlaces e integraciones de terceros ejecutadas correctamente (10)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pruebas de interacción con APIs de terceros (10)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(10 / 10) * 100 = 100%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7. Compatibilidad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Conformidad de endpoints REST con especificación JSON estándar y cabeceras CORS para consumo cruzado.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Respuestas del backend con cabeceras CORS y Content-Type application/json válidas (14)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rutas API expuestas evaluadas (14)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(14 / 14) * 100 = 100%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8. Portabilidad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Replicabilidad de instalación y despliegue del sistema guiado por documentación técnica (README.md paso a paso).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Pasos de instalación y puesta en marcha ejecutados sin inconsistencias (10)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instrucciones documentadas en la guía de despliegue (10)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(10 / 10) * 100 = 100%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  <w:tr>
        <w:tc>
          <w:tcPr>
            <w:tcW w:type="dxa" w:w="15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65D"/>
                <w:sz w:val="19"/>
                <w:szCs w:val="19"/>
              </w:rPr>
              <w:t xml:space="preserve">8. Portabilidad</w:t>
            </w:r>
          </w:p>
        </w:tc>
        <w:tc>
          <w:tcPr>
            <w:tcW w:type="dxa" w:w="2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Desacoplamiento del entorno de ejecución mediante configuración centralizada (.env y config.js sin hardcoding).</w:t>
            </w:r>
          </w:p>
        </w:tc>
        <w:tc>
          <w:tcPr>
            <w:tcW w:type="dxa" w:w="20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Lp: Parámetros de entorno dinámicos (DB, puertos, claves) aislados en variables (8)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Lt: Total de parámetros de conexión y entorno del sistema (8)</w:t>
            </w:r>
          </w:p>
        </w:tc>
        <w:tc>
          <w:tcPr>
            <w:tcW w:type="dxa" w:w="196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KPI = (Lp / Lt) * 100</w:t>
            </w:r>
          </w:p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Resultado: (8 / 8) * 100 = 100%</w:t>
            </w:r>
          </w:p>
        </w:tc>
        <w:tc>
          <w:tcPr>
            <w:tcW w:type="dxa" w:w="9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90% - 100% 🟢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70% - 89% 🟡</w:t>
            </w:r>
          </w:p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19"/>
                <w:szCs w:val="19"/>
              </w:rPr>
              <w:t xml:space="preserve">0% - 69% 🔴</w:t>
            </w:r>
          </w:p>
        </w:tc>
        <w:tc>
          <w:tcPr>
            <w:tcW w:type="dxa" w:w="8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C6F6D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543D"/>
                <w:sz w:val="19"/>
                <w:szCs w:val="19"/>
              </w:rPr>
              <w:t xml:space="preserve">Cumple 🟢</w:t>
            </w:r>
          </w:p>
        </w:tc>
      </w:tr>
    </w:tbl>
    <w:p>
      <w:pPr>
        <w:spacing w:after="100" w:before="250"/>
      </w:pPr>
    </w:p>
    <w:p>
      <w:pPr>
        <w:pStyle w:val="Heading1"/>
        <w:spacing w:after="80" w:before="200"/>
      </w:pPr>
      <w:r>
        <w:rPr>
          <w:rFonts w:ascii="Calibri" w:cs="Calibri" w:eastAsia="Calibri" w:hAnsi="Calibri"/>
          <w:b/>
          <w:bCs/>
          <w:color w:val="1A365D"/>
          <w:sz w:val="28"/>
          <w:szCs w:val="28"/>
        </w:rPr>
        <w:t xml:space="preserve">4. Análisis Detallado de Resultados</w:t>
      </w:r>
    </w:p>
    <w:p>
      <w:r>
        <w:t xml:space="preserve">Los 16 indicadores analizados alcanzaron un nivel de cumplimiento del 100% dentro de los casos de prueba unitarios, de integración y funcionales ejecutados sobre la versión 1.0.0. Destacan de manera sobresaliente: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Adecuación Funcional y Usabilidad: </w:t>
      </w:r>
      <w:r>
        <w:t xml:space="preserve">El catálogo y carrito proporcionan un flujo de compra sumamente ágil y directo hacia WhatsApp, adaptado ergonómicamente a smartphones y ordenadores de escritorio.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Seguridad y Mantenibilidad: </w:t>
      </w:r>
      <w:r>
        <w:t xml:space="preserve">La adopción de bcrypt para salting y hashing de contraseñas, junto con autenticación robusta mediante JSON Web Tokens (JWT) y separación estricta de capas (MVC frontend/backend/db), dota al sistema de solidez ante accesos no autorizados y facilita su escalabilidad.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Fiabilidad y Portabilidad: </w:t>
      </w:r>
      <w:r>
        <w:t xml:space="preserve">La persistencia en localStorage evita pérdida de carritos accidentales, y la centralización en variables de entorno (.env y config.js) permite desplegar la plataforma en nuevos servidores en minutos siguiendo la documentación técnica.</w:t>
      </w:r>
    </w:p>
    <w:p>
      <w:pPr>
        <w:pStyle w:val="Heading1"/>
        <w:spacing w:after="80" w:before="200"/>
      </w:pPr>
      <w:r>
        <w:rPr>
          <w:rFonts w:ascii="Calibri" w:cs="Calibri" w:eastAsia="Calibri" w:hAnsi="Calibri"/>
          <w:b/>
          <w:bCs/>
          <w:color w:val="1A365D"/>
          <w:sz w:val="28"/>
          <w:szCs w:val="28"/>
        </w:rPr>
        <w:t xml:space="preserve">5. Conclusiones Generales y Plan de Mejora Continua</w:t>
      </w:r>
    </w:p>
    <w:p>
      <w:r>
        <w:rPr>
          <w:b/>
          <w:bCs/>
          <w:color w:val="1A365D"/>
        </w:rPr>
        <w:t xml:space="preserve">Puntos Fuertes Consolidados: </w:t>
      </w:r>
      <w:r>
        <w:t xml:space="preserve">Arquitectura de software limpia y desacoplada, seguridad integral en autenticación y roles de usuario, carrito resiliente con persistencia local, motor de colorimetría dinámico en el storefront y panel de administración autónomo para gestión de inventarios y métricas.</w:t>
      </w:r>
    </w:p>
    <w:p>
      <w:r>
        <w:rPr>
          <w:b/>
          <w:bCs/>
          <w:color w:val="C3343E"/>
        </w:rPr>
        <w:t xml:space="preserve">Áreas de Oportunidad y Recomendaciones (Versión 1.1.0):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Optimización de Carga: </w:t>
      </w:r>
      <w:r>
        <w:t xml:space="preserve">Convertir las imágenes restantes de alto peso al formato moderno WebP para reducir tiempos de transferencia en redes móviles 3G/4G.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Ampliación de Compatibilidad: </w:t>
      </w:r>
      <w:r>
        <w:t xml:space="preserve">Formalizar matriz de pruebas automatizadas en navegadores secundarios como Firefox y Safari móvil mediante Playwright CI.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Canal de WhatsApp Comercial: </w:t>
      </w:r>
      <w:r>
        <w:t xml:space="preserve">Configurar la línea de WhatsApp definitiva en config.js para la recepción directa de los pedidos generados por la clientela.</w:t>
      </w:r>
    </w:p>
    <w:p>
      <w:pPr>
        <w:spacing w:after="100" w:before="300"/>
      </w:pPr>
    </w:p>
    <w:p>
      <w:pPr>
        <w:spacing w:after="100" w:before="400"/>
        <w:jc w:val="center"/>
      </w:pPr>
      <w:r>
        <w:rPr>
          <w:color w:val="CBD5E0"/>
        </w:rPr>
        <w:t xml:space="preserve">____________________________________________</w:t>
      </w:r>
    </w:p>
    <w:p>
      <w:pPr>
        <w:jc w:val="center"/>
      </w:pPr>
      <w:r>
        <w:rPr>
          <w:b/>
          <w:bCs/>
          <w:color w:val="1A365D"/>
          <w:sz w:val="22"/>
          <w:szCs w:val="22"/>
        </w:rPr>
        <w:t xml:space="preserve">Juan Esteban Acosta</w:t>
      </w:r>
    </w:p>
    <w:p>
      <w:pPr>
        <w:jc w:val="center"/>
      </w:pPr>
      <w:r>
        <w:rPr>
          <w:i/>
          <w:iCs/>
          <w:color w:val="2D3748"/>
          <w:sz w:val="18"/>
          <w:szCs w:val="18"/>
        </w:rPr>
        <w:t xml:space="preserve">Evaluador Líder de Calidad de Software — YogurASO v1.0.0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D3748"/>
        <w:sz w:val="22"/>
        <w:szCs w:val="22"/>
      </w:rPr>
    </w:rPrDefault>
    <w:pPrDefault>
      <w:pPr>
        <w:spacing w:after="100" w:before="10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2026-10-24T15:58:21.591Z</dcterms:created>
  <dcterms:modified xsi:type="dcterms:W3CDTF">2026-10-24T15:58:21.592Z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