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5B3FA0" w:sz="28"/>
              <w:bottom w:val="single" w:color="5B3FA0" w:sz="14"/>
              <w:right w:val="none" w:color="FFFFFF" w:sz="0"/>
            </w:tcBorders>
            <w:shd w:fill="181040"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Teacher Implementation Guide</w:t>
            </w:r>
          </w:p>
          <w:p>
            <w:r>
              <w:rPr>
                <w:rFonts w:ascii="Arial" w:cs="Arial" w:eastAsia="Arial" w:hAnsi="Arial"/>
                <w:i/>
                <w:iCs/>
                <w:color w:val="AAAACC"/>
                <w:sz w:val="18"/>
                <w:szCs w:val="18"/>
              </w:rPr>
              <w:t xml:space="preserve">VSEPR Discovery Worksheet · Honors &amp; General Chemistry · Concordia Academy</w:t>
            </w:r>
          </w:p>
        </w:tc>
      </w:tr>
    </w:tbl>
    <w:p>
      <w:pPr>
        <w:spacing w:after="120" w:before="0"/>
      </w:pPr>
    </w:p>
    <w:p>
      <w:pPr>
        <w:shd w:fill="5B3FA0" w:val="clear"/>
        <w:spacing w:after="0" w:before="220"/>
      </w:pPr>
      <w:r>
        <w:rPr>
          <w:rFonts w:ascii="Arial" w:cs="Arial" w:eastAsia="Arial" w:hAnsi="Arial"/>
          <w:b/>
          <w:bCs/>
          <w:color w:val="FFFFFF"/>
          <w:sz w:val="24"/>
          <w:szCs w:val="24"/>
        </w:rPr>
        <w:t xml:space="preserve">ACTIVITY OVERVIEW</w:t>
      </w:r>
    </w:p>
    <w:p>
      <w:pPr>
        <w:spacing w:after="60" w:before="0"/>
      </w:pPr>
    </w:p>
    <w:p>
      <w:pPr>
        <w:spacing w:after="60" w:before="20"/>
      </w:pPr>
      <w:r>
        <w:rPr>
          <w:rFonts w:ascii="Arial" w:cs="Arial" w:eastAsia="Arial" w:hAnsi="Arial"/>
          <w:sz w:val="22"/>
          <w:szCs w:val="22"/>
        </w:rPr>
        <w:t xml:space="preserve">This is a multi-day inquiry-based activity in which students use the PhET Molecule Shapes simulation to discover molecular geometry and bond angles through guided data collection. Students draw Lewis structures, count electron groups, use PhET to observe 3D shapes, and build conceptual understanding of how lone pairs affect geometry and bond angles. Both a Honors version (10 molecules + expanded octets) and a General Chemistry version (5 molecules, up to 4 electron groups) are included.</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Course Versions</w:t>
            </w:r>
          </w:p>
        </w:tc>
        <w:tc>
          <w:tcPr>
            <w:tcW w:type="dxa" w:w="72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Honors Chemistry (10 molecules, Sections 3–5) and General Chemistry (5 molecules, Sections 3–4)</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Suggested Timing</w:t>
            </w:r>
          </w:p>
        </w:tc>
        <w:tc>
          <w:tcPr>
            <w:tcW w:type="dxa" w:w="72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2–3 class periods: Day 1 = Sec 1–2 (Lewis structures + VSEPR intro), Day 2 = Sec 3–4 (PhET discovery), Day 3 = Sec 5–6 + exit ticket (Honors) or Sec 5 + exit ticket (Gen Chem)</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Prior Knowledge</w:t>
            </w:r>
          </w:p>
        </w:tc>
        <w:tc>
          <w:tcPr>
            <w:tcW w:type="dxa" w:w="72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Lewis structure drawing — students learned this earlier in the chapter. Section 1 serves as a review and gives them practice drawing the specific molecules used in the activity.</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Tech Required</w:t>
            </w:r>
          </w:p>
        </w:tc>
        <w:tc>
          <w:tcPr>
            <w:tcW w:type="dxa" w:w="72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Chromebook, laptop, or tablet with Chrome. PhET Molecule Shapes (free, phet.colorado.edu).</w:t>
            </w:r>
          </w:p>
        </w:tc>
      </w:tr>
    </w:tbl>
    <w:p>
      <w:pPr>
        <w:spacing w:after="160" w:before="0"/>
      </w:pPr>
    </w:p>
    <w:p>
      <w:pPr>
        <w:shd w:fill="5B3FA0" w:val="clear"/>
        <w:spacing w:after="0" w:before="220"/>
      </w:pPr>
      <w:r>
        <w:rPr>
          <w:rFonts w:ascii="Arial" w:cs="Arial" w:eastAsia="Arial" w:hAnsi="Arial"/>
          <w:b/>
          <w:bCs/>
          <w:color w:val="FFFFFF"/>
          <w:sz w:val="24"/>
          <w:szCs w:val="24"/>
        </w:rPr>
        <w:t xml:space="preserve">BUNDLE CONTENTS</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3200"/>
        <w:gridCol w:w="6880"/>
      </w:tblGrid>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VSEPR_Worksheet_Honors.html</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Interactive digital worksheet — Honors Chem (10 molecules, 7 sections)</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VSEPR_Worksheet_GenChem.html</w:t>
            </w:r>
          </w:p>
        </w:tc>
        <w:tc>
          <w:tcPr>
            <w:tcW w:type="dxa" w:w="68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Interactive digital worksheet — Gen Chem (5 molecules, 6 sections)</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VSEPR_Grader_Honors.html</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Auto-grader for teacher — drag and drop student submissions</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VSEPR_Grader_GenChem.html</w:t>
            </w:r>
          </w:p>
        </w:tc>
        <w:tc>
          <w:tcPr>
            <w:tcW w:type="dxa" w:w="68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Auto-grader for teacher — Gen Chem version</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VSEPR_Answer_Key_Honors.docx</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Printable answer key — Honors version</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VSEPR_Answer_Key_GenChem.docx</w:t>
            </w:r>
          </w:p>
        </w:tc>
        <w:tc>
          <w:tcPr>
            <w:tcW w:type="dxa" w:w="68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Printable answer key — Gen Chem version</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VSEPR_Exit_Ticket_Honors.docx</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Paper exit ticket — 5 molecules (Honors)</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VSEPR_Exit_Ticket_GenChem.docx</w:t>
            </w:r>
          </w:p>
        </w:tc>
        <w:tc>
          <w:tcPr>
            <w:tcW w:type="dxa" w:w="68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Paper exit ticket — 4 molecules (Gen Chem)</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VSEPR_Exit_Ticket_Key_Honors.docx</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Exit ticket answer key — Honors</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VSEPR_Exit_Ticket_Key_GenChem.docx</w:t>
            </w:r>
          </w:p>
        </w:tc>
        <w:tc>
          <w:tcPr>
            <w:tcW w:type="dxa" w:w="68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Exit ticket answer key — Gen Chem</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Teacher_Implementation_Guide.docx</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This document</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Student_Quick_Start.docx</w:t>
            </w:r>
          </w:p>
        </w:tc>
        <w:tc>
          <w:tcPr>
            <w:tcW w:type="dxa" w:w="68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1-page student reference card</w:t>
            </w:r>
          </w:p>
        </w:tc>
      </w:tr>
      <w:tr>
        <w:tc>
          <w:tcPr>
            <w:tcW w:type="dxa" w:w="32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Bundle_README.docx</w:t>
            </w:r>
          </w:p>
        </w:tc>
        <w:tc>
          <w:tcPr>
            <w:tcW w:type="dxa" w:w="6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Contents overview and setup guide</w:t>
            </w:r>
          </w:p>
        </w:tc>
      </w:tr>
    </w:tbl>
    <w:p>
      <w:pPr>
        <w:spacing w:after="160" w:before="0"/>
      </w:pPr>
    </w:p>
    <w:p>
      <w:pPr>
        <w:shd w:fill="5B3FA0" w:val="clear"/>
        <w:spacing w:after="0" w:before="220"/>
      </w:pPr>
      <w:r>
        <w:rPr>
          <w:rFonts w:ascii="Arial" w:cs="Arial" w:eastAsia="Arial" w:hAnsi="Arial"/>
          <w:b/>
          <w:bCs/>
          <w:color w:val="FFFFFF"/>
          <w:sz w:val="24"/>
          <w:szCs w:val="24"/>
        </w:rPr>
        <w:t xml:space="preserve">SETUP — BEFORE CLASS</w:t>
      </w:r>
    </w:p>
    <w:p>
      <w:pPr>
        <w:spacing w:after="60" w:before="0"/>
      </w:pPr>
    </w:p>
    <w:p>
      <w:pPr>
        <w:pBdr>
          <w:bottom w:val="single" w:color="DDD8F0" w:sz="6"/>
        </w:pBdr>
        <w:spacing w:after="50" w:before="160"/>
      </w:pPr>
      <w:r>
        <w:rPr>
          <w:rFonts w:ascii="Arial" w:cs="Arial" w:eastAsia="Arial" w:hAnsi="Arial"/>
          <w:b/>
          <w:bCs/>
          <w:color w:val="5B3FA0"/>
          <w:sz w:val="22"/>
          <w:szCs w:val="22"/>
        </w:rPr>
        <w:t xml:space="preserve">Distribute the Worksheet</w:t>
      </w:r>
    </w:p>
    <w:p>
      <w:pPr>
        <w:pStyle w:val="ListParagraph"/>
        <w:numPr>
          <w:ilvl w:val="0"/>
          <w:numId w:val="2"/>
        </w:numPr>
        <w:spacing w:after="18" w:before="18"/>
      </w:pPr>
      <w:r>
        <w:rPr>
          <w:rFonts w:ascii="Arial" w:cs="Arial" w:eastAsia="Arial" w:hAnsi="Arial"/>
          <w:sz w:val="22"/>
          <w:szCs w:val="22"/>
        </w:rPr>
        <w:t xml:space="preserve">Post the HTML file to Google Classroom, Canvas, or email. Students open in Chrome.</w:t>
      </w:r>
    </w:p>
    <w:p>
      <w:pPr>
        <w:pStyle w:val="ListParagraph"/>
        <w:numPr>
          <w:ilvl w:val="0"/>
          <w:numId w:val="2"/>
        </w:numPr>
        <w:spacing w:after="18" w:before="18"/>
      </w:pPr>
      <w:r>
        <w:rPr>
          <w:rFonts w:ascii="Arial" w:cs="Arial" w:eastAsia="Arial" w:hAnsi="Arial"/>
          <w:sz w:val="22"/>
          <w:szCs w:val="22"/>
        </w:rPr>
        <w:t xml:space="preserve">The file is self-contained — no internet required except for PhET.</w:t>
      </w:r>
    </w:p>
    <w:p>
      <w:pPr>
        <w:pStyle w:val="ListParagraph"/>
        <w:numPr>
          <w:ilvl w:val="0"/>
          <w:numId w:val="2"/>
        </w:numPr>
        <w:spacing w:after="18" w:before="18"/>
      </w:pPr>
      <w:r>
        <w:rPr>
          <w:rFonts w:ascii="Arial" w:cs="Arial" w:eastAsia="Arial" w:hAnsi="Arial"/>
          <w:sz w:val="22"/>
          <w:szCs w:val="22"/>
        </w:rPr>
        <w:t xml:space="preserve">Post the Student Quick-Start so students know how to save and submit.</w:t>
      </w:r>
    </w:p>
    <w:p>
      <w:pPr>
        <w:spacing w:after="80" w:before="0"/>
      </w:pPr>
    </w:p>
    <w:p>
      <w:pPr>
        <w:pBdr>
          <w:bottom w:val="single" w:color="DDD8F0" w:sz="6"/>
        </w:pBdr>
        <w:spacing w:after="50" w:before="160"/>
      </w:pPr>
      <w:r>
        <w:rPr>
          <w:rFonts w:ascii="Arial" w:cs="Arial" w:eastAsia="Arial" w:hAnsi="Arial"/>
          <w:b/>
          <w:bCs/>
          <w:color w:val="5B3FA0"/>
          <w:sz w:val="22"/>
          <w:szCs w:val="22"/>
        </w:rPr>
        <w:t xml:space="preserve">Section 1 — Lewis Structures (Day 1)</w:t>
      </w:r>
    </w:p>
    <w:p>
      <w:pPr>
        <w:pStyle w:val="ListParagraph"/>
        <w:numPr>
          <w:ilvl w:val="0"/>
          <w:numId w:val="2"/>
        </w:numPr>
        <w:spacing w:after="18" w:before="18"/>
      </w:pPr>
      <w:r>
        <w:rPr>
          <w:rFonts w:ascii="Arial" w:cs="Arial" w:eastAsia="Arial" w:hAnsi="Arial"/>
          <w:sz w:val="22"/>
          <w:szCs w:val="22"/>
        </w:rPr>
        <w:t xml:space="preserve">Students draw directly on the canvas using the built-in drawing toolbar. Recommend medium pen for bonds/symbols, largest pen for lone pair dots.</w:t>
      </w:r>
    </w:p>
    <w:p>
      <w:pPr>
        <w:pStyle w:val="ListParagraph"/>
        <w:numPr>
          <w:ilvl w:val="0"/>
          <w:numId w:val="2"/>
        </w:numPr>
        <w:spacing w:after="18" w:before="18"/>
      </w:pPr>
      <w:r>
        <w:rPr>
          <w:rFonts w:ascii="Arial" w:cs="Arial" w:eastAsia="Arial" w:hAnsi="Arial"/>
          <w:sz w:val="22"/>
          <w:szCs w:val="22"/>
        </w:rPr>
        <w:t xml:space="preserve">The Lewis Structure Guide drawer (right edge tab) provides a step-by-step reference.</w:t>
      </w:r>
    </w:p>
    <w:p>
      <w:pPr>
        <w:pStyle w:val="ListParagraph"/>
        <w:numPr>
          <w:ilvl w:val="0"/>
          <w:numId w:val="2"/>
        </w:numPr>
        <w:spacing w:after="18" w:before="18"/>
      </w:pPr>
      <w:r>
        <w:rPr>
          <w:rFonts w:ascii="Arial" w:cs="Arial" w:eastAsia="Arial" w:hAnsi="Arial"/>
          <w:b/>
          <w:bCs/>
          <w:color w:val="5B3FA0"/>
          <w:sz w:val="22"/>
          <w:szCs w:val="22"/>
        </w:rPr>
        <w:t xml:space="preserve">Q 1.1</w:t>
      </w:r>
      <w:r>
        <w:rPr>
          <w:rFonts w:ascii="Arial" w:cs="Arial" w:eastAsia="Arial" w:hAnsi="Arial"/>
          <w:sz w:val="22"/>
          <w:szCs w:val="22"/>
        </w:rPr>
        <w:t xml:space="preserve"> — reflection on why a double bond counts as 1 electron group. Good discussion starter.</w:t>
      </w:r>
    </w:p>
    <w:p>
      <w:pPr>
        <w:spacing w:after="80" w:before="0"/>
      </w:pPr>
    </w:p>
    <w:p>
      <w:pPr>
        <w:pBdr>
          <w:bottom w:val="single" w:color="DDD8F0" w:sz="6"/>
        </w:pBdr>
        <w:spacing w:after="50" w:before="160"/>
      </w:pPr>
      <w:r>
        <w:rPr>
          <w:rFonts w:ascii="Arial" w:cs="Arial" w:eastAsia="Arial" w:hAnsi="Arial"/>
          <w:b/>
          <w:bCs/>
          <w:color w:val="5B3FA0"/>
          <w:sz w:val="22"/>
          <w:szCs w:val="22"/>
        </w:rPr>
        <w:t xml:space="preserve">Section 2 — VSEPR Theory (Day 1 continued)</w:t>
      </w:r>
    </w:p>
    <w:p>
      <w:pPr>
        <w:pStyle w:val="ListParagraph"/>
        <w:numPr>
          <w:ilvl w:val="0"/>
          <w:numId w:val="2"/>
        </w:numPr>
        <w:spacing w:after="18" w:before="18"/>
      </w:pPr>
      <w:r>
        <w:rPr>
          <w:rFonts w:ascii="Arial" w:cs="Arial" w:eastAsia="Arial" w:hAnsi="Arial"/>
          <w:sz w:val="22"/>
          <w:szCs w:val="22"/>
        </w:rPr>
        <w:t xml:space="preserve">Q 2.1 — practice counting electron groups on PCl₃ and SO₂ from pre-drawn Lewis structures.</w:t>
      </w:r>
    </w:p>
    <w:p>
      <w:pPr>
        <w:pStyle w:val="ListParagraph"/>
        <w:numPr>
          <w:ilvl w:val="0"/>
          <w:numId w:val="2"/>
        </w:numPr>
        <w:spacing w:after="18" w:before="18"/>
      </w:pPr>
      <w:r>
        <w:rPr>
          <w:rFonts w:ascii="Arial" w:cs="Arial" w:eastAsia="Arial" w:hAnsi="Arial"/>
          <w:sz w:val="22"/>
          <w:szCs w:val="22"/>
        </w:rPr>
        <w:t xml:space="preserve">Q 2.2 — PhET Model tab only: students observe what happens as groups are added. Switch to Real Molecules from Q 2.3 onward.</w:t>
      </w:r>
    </w:p>
    <w:p>
      <w:pPr>
        <w:pStyle w:val="ListParagraph"/>
        <w:numPr>
          <w:ilvl w:val="0"/>
          <w:numId w:val="2"/>
        </w:numPr>
        <w:spacing w:after="18" w:before="18"/>
      </w:pPr>
      <w:r>
        <w:rPr>
          <w:rFonts w:ascii="Arial" w:cs="Arial" w:eastAsia="Arial" w:hAnsi="Arial"/>
          <w:sz w:val="22"/>
          <w:szCs w:val="22"/>
        </w:rPr>
        <w:t xml:space="preserve">Q 2.4/2.5 — multiple choice on repulsion mechanics (auto-graded).</w:t>
      </w:r>
    </w:p>
    <w:p>
      <w:pPr>
        <w:pStyle w:val="ListParagraph"/>
        <w:numPr>
          <w:ilvl w:val="0"/>
          <w:numId w:val="2"/>
        </w:numPr>
        <w:spacing w:after="18" w:before="18"/>
      </w:pPr>
      <w:r>
        <w:rPr>
          <w:rFonts w:ascii="Arial" w:cs="Arial" w:eastAsia="Arial" w:hAnsi="Arial"/>
          <w:sz w:val="22"/>
          <w:szCs w:val="22"/>
        </w:rPr>
        <w:t xml:space="preserve">Q 2.6 — drag-to-rank repulsion types (auto-graded): correct order = LP–LP &gt; LP–BP &gt; BP–BP.</w:t>
      </w:r>
    </w:p>
    <w:p>
      <w:pPr>
        <w:spacing w:after="80" w:before="0"/>
      </w:pPr>
    </w:p>
    <w:p>
      <w:pPr>
        <w:pBdr>
          <w:bottom w:val="single" w:color="DDD8F0" w:sz="6"/>
        </w:pBdr>
        <w:spacing w:after="50" w:before="160"/>
      </w:pPr>
      <w:r>
        <w:rPr>
          <w:rFonts w:ascii="Arial" w:cs="Arial" w:eastAsia="Arial" w:hAnsi="Arial"/>
          <w:b/>
          <w:bCs/>
          <w:color w:val="5B3FA0"/>
          <w:sz w:val="22"/>
          <w:szCs w:val="22"/>
        </w:rPr>
        <w:t xml:space="preserve">Sections 3–5 — PhET Discovery Tables (Day 2)</w:t>
      </w:r>
    </w:p>
    <w:p>
      <w:pPr>
        <w:pStyle w:val="ListParagraph"/>
        <w:numPr>
          <w:ilvl w:val="0"/>
          <w:numId w:val="2"/>
        </w:numPr>
        <w:spacing w:after="18" w:before="18"/>
      </w:pPr>
      <w:r>
        <w:rPr>
          <w:rFonts w:ascii="Arial" w:cs="Arial" w:eastAsia="Arial" w:hAnsi="Arial"/>
          <w:sz w:val="22"/>
          <w:szCs w:val="22"/>
        </w:rPr>
        <w:t xml:space="preserve">Students use PhET Real Molecules tab to record electron geometry, molecular geometry, and bond angles.</w:t>
      </w:r>
    </w:p>
    <w:p>
      <w:pPr>
        <w:pStyle w:val="ListParagraph"/>
        <w:numPr>
          <w:ilvl w:val="0"/>
          <w:numId w:val="2"/>
        </w:numPr>
        <w:spacing w:after="18" w:before="18"/>
      </w:pPr>
      <w:r>
        <w:rPr>
          <w:rFonts w:ascii="Arial" w:cs="Arial" w:eastAsia="Arial" w:hAnsi="Arial"/>
          <w:sz w:val="22"/>
          <w:szCs w:val="22"/>
        </w:rPr>
        <w:t xml:space="preserve">Section 3: CO₂ and BF₃ (2 and 3 e⁻ groups). BF₃ callout explains the incomplete octet.</w:t>
      </w:r>
    </w:p>
    <w:p>
      <w:pPr>
        <w:pStyle w:val="ListParagraph"/>
        <w:numPr>
          <w:ilvl w:val="0"/>
          <w:numId w:val="2"/>
        </w:numPr>
        <w:spacing w:after="18" w:before="18"/>
      </w:pPr>
      <w:r>
        <w:rPr>
          <w:rFonts w:ascii="Arial" w:cs="Arial" w:eastAsia="Arial" w:hAnsi="Arial"/>
          <w:sz w:val="22"/>
          <w:szCs w:val="22"/>
        </w:rPr>
        <w:t xml:space="preserve">Section 4: CH₄, NH₃, H₂O — all 4 e⁻ groups. Q 4.1 (toggle lone pairs checkbox) and Q 4.2 (why angles shrink) are the key written questions. Hint in Q 4.2 points back to Q 2.6 ranking.</w:t>
      </w:r>
    </w:p>
    <w:p>
      <w:pPr>
        <w:pStyle w:val="ListParagraph"/>
        <w:numPr>
          <w:ilvl w:val="0"/>
          <w:numId w:val="2"/>
        </w:numPr>
        <w:spacing w:after="18" w:before="18"/>
      </w:pPr>
      <w:r>
        <w:rPr>
          <w:rFonts w:ascii="Arial" w:cs="Arial" w:eastAsia="Arial" w:hAnsi="Arial"/>
          <w:b/>
          <w:bCs/>
          <w:color w:val="D94F2B"/>
          <w:sz w:val="22"/>
          <w:szCs w:val="22"/>
        </w:rPr>
        <w:t xml:space="preserve">Honors only:</w:t>
      </w:r>
      <w:r>
        <w:rPr>
          <w:rFonts w:ascii="Arial" w:cs="Arial" w:eastAsia="Arial" w:hAnsi="Arial"/>
          <w:sz w:val="22"/>
          <w:szCs w:val="22"/>
        </w:rPr>
        <w:t xml:space="preserve"> Section 5 adds PCl₅, ClF₃, SF₆, BrF₅, XeF₄ — expanded octets. Q 5.1 (PCl₅ two angles), Q 5.2 (ClF₃ T-shape mechanism), Q 5.3 (why shape name changes). Pay attention to the molecular vs. electron geometry distinction.</w:t>
      </w:r>
    </w:p>
    <w:p>
      <w:pPr>
        <w:spacing w:after="80" w:before="0"/>
      </w:pPr>
    </w:p>
    <w:p>
      <w:pPr>
        <w:pBdr>
          <w:bottom w:val="single" w:color="DDD8F0" w:sz="6"/>
        </w:pBdr>
        <w:spacing w:after="50" w:before="160"/>
      </w:pPr>
      <w:r>
        <w:rPr>
          <w:rFonts w:ascii="Arial" w:cs="Arial" w:eastAsia="Arial" w:hAnsi="Arial"/>
          <w:b/>
          <w:bCs/>
          <w:color w:val="5B3FA0"/>
          <w:sz w:val="22"/>
          <w:szCs w:val="22"/>
        </w:rPr>
        <w:t xml:space="preserve">Section 6/5 — Summary Table &amp; Reflection (Day 3)</w:t>
      </w:r>
    </w:p>
    <w:p>
      <w:pPr>
        <w:pStyle w:val="ListParagraph"/>
        <w:numPr>
          <w:ilvl w:val="0"/>
          <w:numId w:val="2"/>
        </w:numPr>
        <w:spacing w:after="18" w:before="18"/>
      </w:pPr>
      <w:r>
        <w:rPr>
          <w:rFonts w:ascii="Arial" w:cs="Arial" w:eastAsia="Arial" w:hAnsi="Arial"/>
          <w:sz w:val="22"/>
          <w:szCs w:val="22"/>
        </w:rPr>
        <w:t xml:space="preserve">The summary table auto-fills molecular geometry and bond angles from discovery tables. Students manually look up SO₂ (Gen Chem) and SO₂ + SF₄ (Honors) in PhET.</w:t>
      </w:r>
    </w:p>
    <w:p>
      <w:pPr>
        <w:pStyle w:val="ListParagraph"/>
        <w:numPr>
          <w:ilvl w:val="0"/>
          <w:numId w:val="2"/>
        </w:numPr>
        <w:spacing w:after="18" w:before="18"/>
      </w:pPr>
      <w:r>
        <w:rPr>
          <w:rFonts w:ascii="Arial" w:cs="Arial" w:eastAsia="Arial" w:hAnsi="Arial"/>
          <w:sz w:val="22"/>
          <w:szCs w:val="22"/>
        </w:rPr>
        <w:t xml:space="preserve">Q 6.1/5.1 — written summary of the full process. Best prompt for formative assessment of conceptual understanding.</w:t>
      </w:r>
    </w:p>
    <w:p>
      <w:pPr>
        <w:pStyle w:val="ListParagraph"/>
        <w:numPr>
          <w:ilvl w:val="0"/>
          <w:numId w:val="2"/>
        </w:numPr>
        <w:spacing w:after="18" w:before="18"/>
      </w:pPr>
      <w:r>
        <w:rPr>
          <w:rFonts w:ascii="Arial" w:cs="Arial" w:eastAsia="Arial" w:hAnsi="Arial"/>
          <w:sz w:val="22"/>
          <w:szCs w:val="22"/>
        </w:rPr>
        <w:t xml:space="preserve">Real-world connection — unscored, requires student research. Good homework or extension.</w:t>
      </w:r>
    </w:p>
    <w:p>
      <w:pPr>
        <w:spacing w:after="160" w:before="0"/>
      </w:pPr>
    </w:p>
    <w:p>
      <w:pPr>
        <w:shd w:fill="5B3FA0" w:val="clear"/>
        <w:spacing w:after="0" w:before="220"/>
      </w:pPr>
      <w:r>
        <w:rPr>
          <w:rFonts w:ascii="Arial" w:cs="Arial" w:eastAsia="Arial" w:hAnsi="Arial"/>
          <w:b/>
          <w:bCs/>
          <w:color w:val="FFFFFF"/>
          <w:sz w:val="24"/>
          <w:szCs w:val="24"/>
        </w:rPr>
        <w:t xml:space="preserve">USING THE AUTO-GRADER</w:t>
      </w:r>
    </w:p>
    <w:p>
      <w:pPr>
        <w:spacing w:after="60" w:before="0"/>
      </w:pPr>
    </w:p>
    <w:p>
      <w:pPr>
        <w:spacing w:after="60" w:before="20"/>
      </w:pPr>
      <w:r>
        <w:rPr>
          <w:rFonts w:ascii="Arial" w:cs="Arial" w:eastAsia="Arial" w:hAnsi="Arial"/>
          <w:sz w:val="22"/>
          <w:szCs w:val="22"/>
        </w:rPr>
        <w:t xml:space="preserve">Open </w:t>
      </w:r>
      <w:r>
        <w:rPr>
          <w:rFonts w:ascii="Courier New" w:cs="Courier New" w:eastAsia="Courier New" w:hAnsi="Courier New"/>
          <w:b/>
          <w:bCs/>
          <w:color w:val="5B3FA0"/>
          <w:sz w:val="22"/>
          <w:szCs w:val="22"/>
        </w:rPr>
        <w:t xml:space="preserve">VSEPR_Grader_Honors.html</w:t>
      </w:r>
      <w:r>
        <w:rPr>
          <w:rFonts w:ascii="Arial" w:cs="Arial" w:eastAsia="Arial" w:hAnsi="Arial"/>
          <w:sz w:val="22"/>
          <w:szCs w:val="22"/>
        </w:rPr>
        <w:t xml:space="preserve"> or </w:t>
      </w:r>
      <w:r>
        <w:rPr>
          <w:rFonts w:ascii="Courier New" w:cs="Courier New" w:eastAsia="Courier New" w:hAnsi="Courier New"/>
          <w:b/>
          <w:bCs/>
          <w:color w:val="5B3FA0"/>
          <w:sz w:val="22"/>
          <w:szCs w:val="22"/>
        </w:rPr>
        <w:t xml:space="preserve">VSEPR_Grader_GenChem.html</w:t>
      </w:r>
      <w:r>
        <w:rPr>
          <w:rFonts w:ascii="Arial" w:cs="Arial" w:eastAsia="Arial" w:hAnsi="Arial"/>
          <w:sz w:val="22"/>
          <w:szCs w:val="22"/>
        </w:rPr>
        <w:t xml:space="preserve"> in Chrome. Everything runs locally — no internet required.</w:t>
      </w:r>
    </w:p>
    <w:p>
      <w:pPr>
        <w:spacing w:after="40" w:before="0"/>
      </w:pPr>
    </w:p>
    <w:p>
      <w:pPr>
        <w:pStyle w:val="ListParagraph"/>
        <w:numPr>
          <w:ilvl w:val="0"/>
          <w:numId w:val="3"/>
        </w:numPr>
        <w:spacing w:after="20" w:before="20"/>
      </w:pPr>
      <w:r>
        <w:rPr>
          <w:rFonts w:ascii="Arial" w:cs="Arial" w:eastAsia="Arial" w:hAnsi="Arial"/>
          <w:sz w:val="22"/>
          <w:szCs w:val="22"/>
        </w:rPr>
        <w:t xml:space="preserve">Students click </w:t>
      </w:r>
      <w:r>
        <w:rPr>
          <w:rFonts w:ascii="Arial" w:cs="Arial" w:eastAsia="Arial" w:hAnsi="Arial"/>
          <w:b/>
          <w:bCs/>
          <w:color w:val="181040"/>
          <w:sz w:val="22"/>
          <w:szCs w:val="22"/>
        </w:rPr>
        <w:t xml:space="preserve">"⬇ Submit Work"</w:t>
      </w:r>
      <w:r>
        <w:rPr>
          <w:rFonts w:ascii="Arial" w:cs="Arial" w:eastAsia="Arial" w:hAnsi="Arial"/>
          <w:sz w:val="22"/>
          <w:szCs w:val="22"/>
        </w:rPr>
        <w:t xml:space="preserve"> — downloads a student .html file.</w:t>
      </w:r>
    </w:p>
    <w:p>
      <w:pPr>
        <w:pStyle w:val="ListParagraph"/>
        <w:numPr>
          <w:ilvl w:val="0"/>
          <w:numId w:val="3"/>
        </w:numPr>
        <w:spacing w:after="20" w:before="20"/>
      </w:pPr>
      <w:r>
        <w:rPr>
          <w:rFonts w:ascii="Arial" w:cs="Arial" w:eastAsia="Arial" w:hAnsi="Arial"/>
          <w:sz w:val="22"/>
          <w:szCs w:val="22"/>
        </w:rPr>
        <w:t xml:space="preserve">Collect student files (Google Classroom, email, USB).</w:t>
      </w:r>
    </w:p>
    <w:p>
      <w:pPr>
        <w:pStyle w:val="ListParagraph"/>
        <w:numPr>
          <w:ilvl w:val="0"/>
          <w:numId w:val="3"/>
        </w:numPr>
        <w:spacing w:after="20" w:before="20"/>
      </w:pPr>
      <w:r>
        <w:rPr>
          <w:rFonts w:ascii="Arial" w:cs="Arial" w:eastAsia="Arial" w:hAnsi="Arial"/>
          <w:sz w:val="22"/>
          <w:szCs w:val="22"/>
        </w:rPr>
        <w:t xml:space="preserve">Open the grader, drag and drop all files onto the drop zone simultaneously.</w:t>
      </w:r>
    </w:p>
    <w:p>
      <w:pPr>
        <w:pStyle w:val="ListParagraph"/>
        <w:numPr>
          <w:ilvl w:val="0"/>
          <w:numId w:val="3"/>
        </w:numPr>
        <w:spacing w:after="20" w:before="20"/>
      </w:pPr>
      <w:r>
        <w:rPr>
          <w:rFonts w:ascii="Arial" w:cs="Arial" w:eastAsia="Arial" w:hAnsi="Arial"/>
          <w:sz w:val="22"/>
          <w:szCs w:val="22"/>
        </w:rPr>
        <w:t xml:space="preserve">Grader auto-scores: discovery table entries (molecular geometry + bond angles) and MC questions (Q 2.4, Q 2.5). Lewis structure electron counts are compared to the answer key.</w:t>
      </w:r>
    </w:p>
    <w:p>
      <w:pPr>
        <w:pStyle w:val="ListParagraph"/>
        <w:numPr>
          <w:ilvl w:val="0"/>
          <w:numId w:val="3"/>
        </w:numPr>
        <w:spacing w:after="20" w:before="20"/>
      </w:pPr>
      <w:r>
        <w:rPr>
          <w:rFonts w:ascii="Arial" w:cs="Arial" w:eastAsia="Arial" w:hAnsi="Arial"/>
          <w:sz w:val="22"/>
          <w:szCs w:val="22"/>
        </w:rPr>
        <w:t xml:space="preserve">Score written questions and drawings manually using the input fields.</w:t>
      </w:r>
    </w:p>
    <w:p>
      <w:pPr>
        <w:pStyle w:val="ListParagraph"/>
        <w:numPr>
          <w:ilvl w:val="0"/>
          <w:numId w:val="3"/>
        </w:numPr>
        <w:spacing w:after="20" w:before="20"/>
      </w:pPr>
      <w:r>
        <w:rPr>
          <w:rFonts w:ascii="Arial" w:cs="Arial" w:eastAsia="Arial" w:hAnsi="Arial"/>
          <w:sz w:val="22"/>
          <w:szCs w:val="22"/>
        </w:rPr>
        <w:t xml:space="preserve">Click </w:t>
      </w:r>
      <w:r>
        <w:rPr>
          <w:rFonts w:ascii="Arial" w:cs="Arial" w:eastAsia="Arial" w:hAnsi="Arial"/>
          <w:b/>
          <w:bCs/>
          <w:color w:val="181040"/>
          <w:sz w:val="22"/>
          <w:szCs w:val="22"/>
        </w:rPr>
        <w:t xml:space="preserve">"⬇ Export CSV"</w:t>
      </w:r>
      <w:r>
        <w:rPr>
          <w:rFonts w:ascii="Arial" w:cs="Arial" w:eastAsia="Arial" w:hAnsi="Arial"/>
          <w:sz w:val="22"/>
          <w:szCs w:val="22"/>
        </w:rPr>
        <w:t xml:space="preserve"> for gradebook import.</w:t>
      </w:r>
    </w:p>
    <w:p>
      <w:pPr>
        <w:spacing w:after="8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single" w:color="00B8A0" w:sz="10"/>
              <w:left w:val="single" w:color="00B8A0" w:sz="20"/>
              <w:bottom w:val="single" w:color="DDD8F0" w:sz="4"/>
              <w:right w:val="single" w:color="DDD8F0" w:sz="4"/>
            </w:tcBorders>
            <w:shd w:fill="F0F8FF" w:val="clear"/>
            <w:tcMar>
              <w:top w:type="dxa" w:w="80"/>
              <w:left w:type="dxa" w:w="120"/>
              <w:bottom w:type="dxa" w:w="80"/>
              <w:right w:type="dxa" w:w="120"/>
            </w:tcMar>
          </w:tcPr>
          <w:p>
            <w:pPr>
              <w:spacing w:after="20" w:before="20"/>
            </w:pPr>
            <w:r>
              <w:rPr>
                <w:rFonts w:ascii="Arial" w:cs="Arial" w:eastAsia="Arial" w:hAnsi="Arial"/>
                <w:color w:val="333333"/>
                <w:sz w:val="22"/>
                <w:szCs w:val="22"/>
              </w:rPr>
              <w:t xml:space="preserve">Auto-scored: S1 electron counts (1pt/mol) · S2 MC questions (2pts each) · S2 ranking (2pts) · S3–5 molecular geometry + bond angles (1pt each)</w:t>
            </w:r>
          </w:p>
          <w:p>
            <w:pPr>
              <w:spacing w:after="20" w:before="20"/>
            </w:pPr>
            <w:r>
              <w:rPr>
                <w:rFonts w:ascii="Arial" w:cs="Arial" w:eastAsia="Arial" w:hAnsi="Arial"/>
                <w:color w:val="333333"/>
                <w:sz w:val="22"/>
                <w:szCs w:val="22"/>
              </w:rPr>
              <w:t xml:space="preserve">Manual: Lewis structure drawings (teacher views thumbnails in grader) · All written questions (point values shown per question)</w:t>
            </w:r>
          </w:p>
        </w:tc>
      </w:tr>
    </w:tbl>
    <w:p>
      <w:pPr>
        <w:spacing w:after="160" w:before="0"/>
      </w:pPr>
    </w:p>
    <w:p>
      <w:pPr>
        <w:shd w:fill="5B3FA0" w:val="clear"/>
        <w:spacing w:after="0" w:before="220"/>
      </w:pPr>
      <w:r>
        <w:rPr>
          <w:rFonts w:ascii="Arial" w:cs="Arial" w:eastAsia="Arial" w:hAnsi="Arial"/>
          <w:b/>
          <w:bCs/>
          <w:color w:val="FFFFFF"/>
          <w:sz w:val="24"/>
          <w:szCs w:val="24"/>
        </w:rPr>
        <w:t xml:space="preserve">STANDARDS ALIGNMENT</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2800"/>
        <w:gridCol w:w="7280"/>
      </w:tblGrid>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NGSS HS-PS1-1</w:t>
            </w:r>
          </w:p>
        </w:tc>
        <w:tc>
          <w:tcPr>
            <w:tcW w:type="dxa" w:w="72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Using the periodic table and models to predict properties of substances. Students predict 3D molecular geometry and bond angles from Lewis structures.</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NGSS HS-PS1-2</w:t>
            </w:r>
          </w:p>
        </w:tc>
        <w:tc>
          <w:tcPr>
            <w:tcW w:type="dxa" w:w="72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Constructing and revising explanations for properties of substances. Students explain how electron group arrangement determines molecular geometry and bond angles.</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NGSS Science Practice 2</w:t>
            </w:r>
          </w:p>
        </w:tc>
        <w:tc>
          <w:tcPr>
            <w:tcW w:type="dxa" w:w="72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Developing and using models — PhET simulation as a 3D molecular model.</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NGSS Science Practice 6</w:t>
            </w:r>
          </w:p>
        </w:tc>
        <w:tc>
          <w:tcPr>
            <w:tcW w:type="dxa" w:w="7280"/>
            <w:tcBorders>
              <w:top w:val="single" w:color="DDD8F0" w:sz="4"/>
              <w:left w:val="single" w:color="DDD8F0" w:sz="4"/>
              <w:bottom w:val="single" w:color="DDD8F0" w:sz="4"/>
              <w:right w:val="single" w:color="DDD8F0" w:sz="4"/>
            </w:tcBorders>
            <w:shd w:fill="FFF9FF" w:val="clear"/>
            <w:tcMar>
              <w:top w:type="dxa" w:w="50"/>
              <w:left w:type="dxa" w:w="80"/>
              <w:bottom w:type="dxa" w:w="50"/>
              <w:right w:type="dxa" w:w="80"/>
            </w:tcMar>
          </w:tcPr>
          <w:p>
            <w:r>
              <w:rPr>
                <w:rFonts w:ascii="Arial" w:cs="Arial" w:eastAsia="Arial" w:hAnsi="Arial"/>
                <w:color w:val="333333"/>
                <w:sz w:val="20"/>
                <w:szCs w:val="20"/>
              </w:rPr>
              <w:t xml:space="preserve">Constructing explanations from evidence — written questions require data-backed explanations.</w:t>
            </w:r>
          </w:p>
        </w:tc>
      </w:tr>
      <w:tr>
        <w:tc>
          <w:tcPr>
            <w:tcW w:type="dxa" w:w="2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5B3FA0"/>
                <w:sz w:val="20"/>
                <w:szCs w:val="20"/>
              </w:rPr>
              <w:t xml:space="preserve">AP Chemistry 2.C</w:t>
            </w:r>
          </w:p>
        </w:tc>
        <w:tc>
          <w:tcPr>
            <w:tcW w:type="dxa" w:w="72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color w:val="333333"/>
                <w:sz w:val="20"/>
                <w:szCs w:val="20"/>
              </w:rPr>
              <w:t xml:space="preserve">Molecular geometry and bond angles from VSEPR theory — predicting 3D shape from Lewis structure electron groups.</w:t>
            </w:r>
          </w:p>
        </w:tc>
      </w:tr>
    </w:tbl>
    <w:p>
      <w:pPr>
        <w:spacing w:after="160" w:before="0"/>
      </w:pPr>
    </w:p>
    <w:p>
      <w:pPr>
        <w:pBdr>
          <w:top w:val="single" w:color="DDD8F0" w:sz="4"/>
        </w:pBdr>
        <w:spacing w:before="160"/>
        <w:jc w:val="center"/>
      </w:pPr>
      <w:r>
        <w:rPr>
          <w:rFonts w:ascii="Arial" w:cs="Arial" w:eastAsia="Arial" w:hAnsi="Arial"/>
          <w:color w:val="999999"/>
          <w:sz w:val="18"/>
          <w:szCs w:val="18"/>
        </w:rPr>
        <w:t xml:space="preserve">Concordia Academy · Chemistry · VSEPR Discovery Worksheet · Teacher Implementation Guide</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840" w:hanging="24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480" w:hanging="280"/>
      </w:pPr>
      <w:rPr>
        <w:rFonts w:ascii="Arial" w:cs="Arial" w:eastAsia="Arial" w:hAnsi="Arial"/>
        <w:b/>
        <w:bCs/>
        <w:color w:val="5B3FA0"/>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2026-03-18T02:14:54.900Z</dcterms:created>
  <dcterms:modified xsi:type="dcterms:W3CDTF">2026-03-18T02:14:54.900Z</dcterms:modified>
</cp:coreProperties>
</file>

<file path=docProps/custom.xml><?xml version="1.0" encoding="utf-8"?>
<Properties xmlns="http://schemas.openxmlformats.org/officeDocument/2006/custom-properties" xmlns:vt="http://schemas.openxmlformats.org/officeDocument/2006/docPropsVTypes"/>
</file>