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5B3FA0" w:sz="28"/>
              <w:bottom w:val="single" w:color="5B3FA0" w:sz="14"/>
              <w:right w:val="none" w:color="FFFFFF" w:sz="0"/>
            </w:tcBorders>
            <w:shd w:fill="18104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VSEPR Discovery Worksheet</w:t>
            </w:r>
          </w:p>
          <w:p>
            <w:r>
              <w:rPr>
                <w:rFonts w:ascii="Arial" w:cs="Arial" w:eastAsia="Arial" w:hAnsi="Arial"/>
                <w:i/>
                <w:iCs/>
                <w:color w:val="AAAACC"/>
                <w:sz w:val="18"/>
                <w:szCs w:val="18"/>
              </w:rPr>
              <w:t xml:space="preserve">Digital Interactive Bundle · Honors &amp; General Chemistry · Bundle Contents &amp; Setup Guide</w:t>
            </w:r>
          </w:p>
        </w:tc>
      </w:tr>
    </w:tbl>
    <w:p>
      <w:pPr>
        <w:spacing w:after="120" w:before="0"/>
      </w:pPr>
    </w:p>
    <w:p>
      <w:pPr>
        <w:spacing w:after="60" w:before="20"/>
      </w:pPr>
      <w:r>
        <w:rPr>
          <w:rFonts w:ascii="Arial" w:cs="Arial" w:eastAsia="Arial" w:hAnsi="Arial"/>
          <w:b/>
          <w:bCs/>
          <w:color w:val="181040"/>
          <w:sz w:val="22"/>
          <w:szCs w:val="22"/>
        </w:rPr>
        <w:t xml:space="preserve">Thank you for purchasing this bundle!</w:t>
      </w:r>
      <w:r>
        <w:rPr>
          <w:rFonts w:ascii="Arial" w:cs="Arial" w:eastAsia="Arial" w:hAnsi="Arial"/>
          <w:sz w:val="22"/>
          <w:szCs w:val="22"/>
        </w:rPr>
        <w:t xml:space="preserve"> This document explains every file included, which version to use, and how to get started in under five minutes.</w:t>
      </w:r>
    </w:p>
    <w:p>
      <w:pPr>
        <w:spacing w:after="100" w:before="0"/>
      </w:pPr>
    </w:p>
    <w:p>
      <w:pPr>
        <w:shd w:fill="5B3FA0" w:val="clear"/>
        <w:spacing w:after="0" w:before="2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BUNDLE CONTENTS (13 Files)</w:t>
      </w:r>
    </w:p>
    <w:p>
      <w:pPr>
        <w:spacing w:after="6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2600"/>
        <w:gridCol w:w="1200"/>
        <w:gridCol w:w="6040"/>
      </w:tblGrid>
      <w:tr>
        <w:tc>
          <w:tcPr>
            <w:tcW w:type="dxa" w:w="2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60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</w:t>
            </w:r>
          </w:p>
        </w:tc>
        <w:tc>
          <w:tcPr>
            <w:tcW w:type="dxa" w:w="2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B3FA0"/>
                <w:sz w:val="18"/>
                <w:szCs w:val="18"/>
              </w:rPr>
              <w:t xml:space="preserve">VSEPR_Worksheet_Honors.html</w:t>
            </w:r>
          </w:p>
        </w:tc>
        <w:tc>
          <w:tcPr>
            <w:tcW w:type="dxa" w:w="1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HTML</w:t>
            </w:r>
          </w:p>
        </w:tc>
        <w:tc>
          <w:tcPr>
            <w:tcW w:type="dxa" w:w="60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Interactive student worksheet — Honors Chemistry (10 molecules, 7 sections)</w:t>
            </w:r>
          </w:p>
        </w:tc>
      </w:tr>
      <w:tr>
        <w:tc>
          <w:tcPr>
            <w:tcW w:type="dxa" w:w="2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</w:t>
            </w:r>
          </w:p>
        </w:tc>
        <w:tc>
          <w:tcPr>
            <w:tcW w:type="dxa" w:w="2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B3FA0"/>
                <w:sz w:val="18"/>
                <w:szCs w:val="18"/>
              </w:rPr>
              <w:t xml:space="preserve">VSEPR_Worksheet_GenChem.html</w:t>
            </w:r>
          </w:p>
        </w:tc>
        <w:tc>
          <w:tcPr>
            <w:tcW w:type="dxa" w:w="1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HTML</w:t>
            </w:r>
          </w:p>
        </w:tc>
        <w:tc>
          <w:tcPr>
            <w:tcW w:type="dxa" w:w="60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AF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Interactive student worksheet — General Chemistry (5 molecules, 6 sections)</w:t>
            </w:r>
          </w:p>
        </w:tc>
      </w:tr>
      <w:tr>
        <w:tc>
          <w:tcPr>
            <w:tcW w:type="dxa" w:w="2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🔧</w:t>
            </w:r>
          </w:p>
        </w:tc>
        <w:tc>
          <w:tcPr>
            <w:tcW w:type="dxa" w:w="2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B3FA0"/>
                <w:sz w:val="18"/>
                <w:szCs w:val="18"/>
              </w:rPr>
              <w:t xml:space="preserve">VSEPR_Grader_Honors.html</w:t>
            </w:r>
          </w:p>
        </w:tc>
        <w:tc>
          <w:tcPr>
            <w:tcW w:type="dxa" w:w="1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HTML</w:t>
            </w:r>
          </w:p>
        </w:tc>
        <w:tc>
          <w:tcPr>
            <w:tcW w:type="dxa" w:w="60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Auto-grader for teacher — drag-and-drop, Honors version</w:t>
            </w:r>
          </w:p>
        </w:tc>
      </w:tr>
      <w:tr>
        <w:tc>
          <w:tcPr>
            <w:tcW w:type="dxa" w:w="2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🔧</w:t>
            </w:r>
          </w:p>
        </w:tc>
        <w:tc>
          <w:tcPr>
            <w:tcW w:type="dxa" w:w="2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B3FA0"/>
                <w:sz w:val="18"/>
                <w:szCs w:val="18"/>
              </w:rPr>
              <w:t xml:space="preserve">VSEPR_Grader_GenChem.html</w:t>
            </w:r>
          </w:p>
        </w:tc>
        <w:tc>
          <w:tcPr>
            <w:tcW w:type="dxa" w:w="1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HTML</w:t>
            </w:r>
          </w:p>
        </w:tc>
        <w:tc>
          <w:tcPr>
            <w:tcW w:type="dxa" w:w="60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AF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Auto-grader for teacher — General Chemistry version</w:t>
            </w:r>
          </w:p>
        </w:tc>
      </w:tr>
      <w:tr>
        <w:tc>
          <w:tcPr>
            <w:tcW w:type="dxa" w:w="2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📋</w:t>
            </w:r>
          </w:p>
        </w:tc>
        <w:tc>
          <w:tcPr>
            <w:tcW w:type="dxa" w:w="2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B3FA0"/>
                <w:sz w:val="18"/>
                <w:szCs w:val="18"/>
              </w:rPr>
              <w:t xml:space="preserve">VSEPR_Answer_Key_Honors.docx</w:t>
            </w:r>
          </w:p>
        </w:tc>
        <w:tc>
          <w:tcPr>
            <w:tcW w:type="dxa" w:w="1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Word</w:t>
            </w:r>
          </w:p>
        </w:tc>
        <w:tc>
          <w:tcPr>
            <w:tcW w:type="dxa" w:w="60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Printable answer key — discovery tables, summary table, written model answers</w:t>
            </w:r>
          </w:p>
        </w:tc>
      </w:tr>
      <w:tr>
        <w:tc>
          <w:tcPr>
            <w:tcW w:type="dxa" w:w="2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📋</w:t>
            </w:r>
          </w:p>
        </w:tc>
        <w:tc>
          <w:tcPr>
            <w:tcW w:type="dxa" w:w="2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B3FA0"/>
                <w:sz w:val="18"/>
                <w:szCs w:val="18"/>
              </w:rPr>
              <w:t xml:space="preserve">VSEPR_Answer_Key_GenChem.docx</w:t>
            </w:r>
          </w:p>
        </w:tc>
        <w:tc>
          <w:tcPr>
            <w:tcW w:type="dxa" w:w="1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Word</w:t>
            </w:r>
          </w:p>
        </w:tc>
        <w:tc>
          <w:tcPr>
            <w:tcW w:type="dxa" w:w="60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AF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Printable answer key — Gen Chem version</w:t>
            </w:r>
          </w:p>
        </w:tc>
      </w:tr>
      <w:tr>
        <w:tc>
          <w:tcPr>
            <w:tcW w:type="dxa" w:w="2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</w:t>
            </w:r>
          </w:p>
        </w:tc>
        <w:tc>
          <w:tcPr>
            <w:tcW w:type="dxa" w:w="2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B3FA0"/>
                <w:sz w:val="18"/>
                <w:szCs w:val="18"/>
              </w:rPr>
              <w:t xml:space="preserve">VSEPR_Exit_Ticket_Honors.docx</w:t>
            </w:r>
          </w:p>
        </w:tc>
        <w:tc>
          <w:tcPr>
            <w:tcW w:type="dxa" w:w="1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Word</w:t>
            </w:r>
          </w:p>
        </w:tc>
        <w:tc>
          <w:tcPr>
            <w:tcW w:type="dxa" w:w="60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Paper exit ticket — 5 molecules including expanded octet</w:t>
            </w:r>
          </w:p>
        </w:tc>
      </w:tr>
      <w:tr>
        <w:tc>
          <w:tcPr>
            <w:tcW w:type="dxa" w:w="2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</w:t>
            </w:r>
          </w:p>
        </w:tc>
        <w:tc>
          <w:tcPr>
            <w:tcW w:type="dxa" w:w="2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B3FA0"/>
                <w:sz w:val="18"/>
                <w:szCs w:val="18"/>
              </w:rPr>
              <w:t xml:space="preserve">VSEPR_Exit_Ticket_GenChem.docx</w:t>
            </w:r>
          </w:p>
        </w:tc>
        <w:tc>
          <w:tcPr>
            <w:tcW w:type="dxa" w:w="1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Word</w:t>
            </w:r>
          </w:p>
        </w:tc>
        <w:tc>
          <w:tcPr>
            <w:tcW w:type="dxa" w:w="60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AF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Paper exit ticket — 4 molecules, ≤4 electron groups only</w:t>
            </w:r>
          </w:p>
        </w:tc>
      </w:tr>
      <w:tr>
        <w:tc>
          <w:tcPr>
            <w:tcW w:type="dxa" w:w="2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🔑</w:t>
            </w:r>
          </w:p>
        </w:tc>
        <w:tc>
          <w:tcPr>
            <w:tcW w:type="dxa" w:w="2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B3FA0"/>
                <w:sz w:val="18"/>
                <w:szCs w:val="18"/>
              </w:rPr>
              <w:t xml:space="preserve">VSEPR_Exit_Ticket_Key_Honors.docx</w:t>
            </w:r>
          </w:p>
        </w:tc>
        <w:tc>
          <w:tcPr>
            <w:tcW w:type="dxa" w:w="1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Word</w:t>
            </w:r>
          </w:p>
        </w:tc>
        <w:tc>
          <w:tcPr>
            <w:tcW w:type="dxa" w:w="60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Exit ticket answer key — Honors</w:t>
            </w:r>
          </w:p>
        </w:tc>
      </w:tr>
      <w:tr>
        <w:tc>
          <w:tcPr>
            <w:tcW w:type="dxa" w:w="2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🔑</w:t>
            </w:r>
          </w:p>
        </w:tc>
        <w:tc>
          <w:tcPr>
            <w:tcW w:type="dxa" w:w="2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B3FA0"/>
                <w:sz w:val="18"/>
                <w:szCs w:val="18"/>
              </w:rPr>
              <w:t xml:space="preserve">VSEPR_Exit_Ticket_Key_GenChem.docx</w:t>
            </w:r>
          </w:p>
        </w:tc>
        <w:tc>
          <w:tcPr>
            <w:tcW w:type="dxa" w:w="1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Word</w:t>
            </w:r>
          </w:p>
        </w:tc>
        <w:tc>
          <w:tcPr>
            <w:tcW w:type="dxa" w:w="60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AF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Exit ticket answer key — Gen Chem</w:t>
            </w:r>
          </w:p>
        </w:tc>
      </w:tr>
      <w:tr>
        <w:tc>
          <w:tcPr>
            <w:tcW w:type="dxa" w:w="2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📖</w:t>
            </w:r>
          </w:p>
        </w:tc>
        <w:tc>
          <w:tcPr>
            <w:tcW w:type="dxa" w:w="2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B3FA0"/>
                <w:sz w:val="18"/>
                <w:szCs w:val="18"/>
              </w:rPr>
              <w:t xml:space="preserve">Teacher_Implementation_Guide.docx</w:t>
            </w:r>
          </w:p>
        </w:tc>
        <w:tc>
          <w:tcPr>
            <w:tcW w:type="dxa" w:w="1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Word</w:t>
            </w:r>
          </w:p>
        </w:tc>
        <w:tc>
          <w:tcPr>
            <w:tcW w:type="dxa" w:w="60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teacher guide: setup, day-by-day plan, grader usage, standards</w:t>
            </w:r>
          </w:p>
        </w:tc>
      </w:tr>
      <w:tr>
        <w:tc>
          <w:tcPr>
            <w:tcW w:type="dxa" w:w="2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👤</w:t>
            </w:r>
          </w:p>
        </w:tc>
        <w:tc>
          <w:tcPr>
            <w:tcW w:type="dxa" w:w="2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B3FA0"/>
                <w:sz w:val="18"/>
                <w:szCs w:val="18"/>
              </w:rPr>
              <w:t xml:space="preserve">Student_Quick_Start.docx</w:t>
            </w:r>
          </w:p>
        </w:tc>
        <w:tc>
          <w:tcPr>
            <w:tcW w:type="dxa" w:w="1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Word</w:t>
            </w:r>
          </w:p>
        </w:tc>
        <w:tc>
          <w:tcPr>
            <w:tcW w:type="dxa" w:w="60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AF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1-page student reference — saving, submitting, sections, PhET, drawing tips</w:t>
            </w:r>
          </w:p>
        </w:tc>
      </w:tr>
      <w:tr>
        <w:tc>
          <w:tcPr>
            <w:tcW w:type="dxa" w:w="2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📦</w:t>
            </w:r>
          </w:p>
        </w:tc>
        <w:tc>
          <w:tcPr>
            <w:tcW w:type="dxa" w:w="2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B3FA0"/>
                <w:sz w:val="18"/>
                <w:szCs w:val="18"/>
              </w:rPr>
              <w:t xml:space="preserve">Bundle_README.docx</w:t>
            </w:r>
          </w:p>
        </w:tc>
        <w:tc>
          <w:tcPr>
            <w:tcW w:type="dxa" w:w="1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Word</w:t>
            </w:r>
          </w:p>
        </w:tc>
        <w:tc>
          <w:tcPr>
            <w:tcW w:type="dxa" w:w="604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document</w:t>
            </w:r>
          </w:p>
        </w:tc>
      </w:tr>
    </w:tbl>
    <w:p>
      <w:pPr>
        <w:spacing w:after="160" w:before="0"/>
      </w:pPr>
    </w:p>
    <w:p>
      <w:pPr>
        <w:shd w:fill="5B3FA0" w:val="clear"/>
        <w:spacing w:after="0" w:before="2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5-MINUTE SETUP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Post </w:t>
      </w:r>
      <w:r>
        <w:rPr>
          <w:rFonts w:ascii="Arial" w:cs="Arial" w:eastAsia="Arial" w:hAnsi="Arial"/>
          <w:b/>
          <w:bCs/>
          <w:color w:val="5B3FA0"/>
          <w:sz w:val="22"/>
          <w:szCs w:val="22"/>
        </w:rPr>
        <w:t xml:space="preserve">VSEPR_Worksheet_Honors.html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color w:val="5B3FA0"/>
          <w:sz w:val="22"/>
          <w:szCs w:val="22"/>
        </w:rPr>
        <w:t xml:space="preserve">VSEPR_Worksheet_GenChem.html</w:t>
      </w:r>
      <w:r>
        <w:rPr>
          <w:rFonts w:ascii="Arial" w:cs="Arial" w:eastAsia="Arial" w:hAnsi="Arial"/>
          <w:sz w:val="22"/>
          <w:szCs w:val="22"/>
        </w:rPr>
        <w:t xml:space="preserve"> to your LMS. Students download and open in Chrome.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Print or post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Student_Quick_Start.docx</w:t>
      </w:r>
      <w:r>
        <w:rPr>
          <w:rFonts w:ascii="Arial" w:cs="Arial" w:eastAsia="Arial" w:hAnsi="Arial"/>
          <w:sz w:val="22"/>
          <w:szCs w:val="22"/>
        </w:rPr>
        <w:t xml:space="preserve"> so students know how to save, submit, and use PhET.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Read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Teacher_Implementation_Guide.docx</w:t>
      </w:r>
      <w:r>
        <w:rPr>
          <w:rFonts w:ascii="Arial" w:cs="Arial" w:eastAsia="Arial" w:hAnsi="Arial"/>
          <w:sz w:val="22"/>
          <w:szCs w:val="22"/>
        </w:rPr>
        <w:t xml:space="preserve"> for the day-by-day lesson plan.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At submission: collect student .html files → open the grader → drag and drop all files → score → Export CSV.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Print exit ticket from </w:t>
      </w:r>
      <w:r>
        <w:rPr>
          <w:rFonts w:ascii="Arial" w:cs="Arial" w:eastAsia="Arial" w:hAnsi="Arial"/>
          <w:b/>
          <w:bCs/>
          <w:color w:val="5B3FA0"/>
          <w:sz w:val="22"/>
          <w:szCs w:val="22"/>
        </w:rPr>
        <w:t xml:space="preserve">VSEPR_Exit_Ticket_[Version].docx</w:t>
      </w:r>
      <w:r>
        <w:rPr>
          <w:rFonts w:ascii="Arial" w:cs="Arial" w:eastAsia="Arial" w:hAnsi="Arial"/>
          <w:sz w:val="22"/>
          <w:szCs w:val="22"/>
        </w:rPr>
        <w:t xml:space="preserve"> and answer key separately.</w:t>
      </w:r>
    </w:p>
    <w:p>
      <w:pPr>
        <w:spacing w:after="160" w:before="0"/>
      </w:pPr>
    </w:p>
    <w:p>
      <w:pPr>
        <w:shd w:fill="5B3FA0" w:val="clear"/>
        <w:spacing w:after="0" w:before="2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WHICH VERSION TO USE?</w:t>
      </w:r>
    </w:p>
    <w:p>
      <w:pPr>
        <w:spacing w:after="6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0"/>
                <w:sz w:val="20"/>
                <w:szCs w:val="20"/>
              </w:rPr>
              <w:t xml:space="preserve">Honors Chemistry</w:t>
            </w:r>
          </w:p>
        </w:tc>
        <w:tc>
          <w:tcPr>
            <w:tcW w:type="dxa" w:w="72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Honors worksheet + Honors grader + Honors answer key + Honors exit ticket. Covers 2, 3, 4, 5, and 6 electron group geometries including expanded octets (PCl₅, ClF₃, SF₆, BrF₅, XeF₄).</w:t>
            </w:r>
          </w:p>
        </w:tc>
      </w:tr>
      <w:tr>
        <w:tc>
          <w:tcPr>
            <w:tcW w:type="dxa" w:w="2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0"/>
                <w:sz w:val="20"/>
                <w:szCs w:val="20"/>
              </w:rPr>
              <w:t xml:space="preserve">General Chemistry</w:t>
            </w:r>
          </w:p>
        </w:tc>
        <w:tc>
          <w:tcPr>
            <w:tcW w:type="dxa" w:w="72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GenChem worksheet + GenChem grader + GenChem answer key + GenChem exit ticket. Covers up to 4 electron groups only: linear, trigonal planar, tetrahedral, trigonal pyramidal, bent.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F855A" w:sz="10"/>
              <w:left w:val="single" w:color="2F855A" w:sz="20"/>
              <w:bottom w:val="single" w:color="DDD8F0" w:sz="4"/>
              <w:right w:val="single" w:color="DDD8F0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 Canvas drawing directly on Lewis structure workspace — medium pen for bonds, large pen for lone pairs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 Auto-save to browser storage + cross-device export/import via .json progress file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 PhET integration — students use Real Molecules tab to discover geometry and bond angles empirically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 Lewis Structure Guide drawer (right edge tab) — step-by-step drawing reference always accessible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 Auto-grader scores electron counts, discovery table entries, and multiple choice questions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 CSV export for gradebook import</w:t>
            </w:r>
          </w:p>
        </w:tc>
      </w:tr>
    </w:tbl>
    <w:p>
      <w:pPr>
        <w:spacing w:after="16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Questions or suggestions? Leave a review or message on TPT — your feedback helps improve these resources.</w:t>
      </w:r>
    </w:p>
    <w:p>
      <w:pPr>
        <w:pBdr>
          <w:top w:val="single" w:color="DDD8F0" w:sz="4"/>
        </w:pBdr>
        <w:spacing w:before="1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Concordia Academy · Chemistry · VSEPR Discovery Worksheet Bundle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840" w:hanging="24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  <w:rPr>
        <w:rFonts w:ascii="Arial" w:cs="Arial" w:eastAsia="Arial" w:hAnsi="Arial"/>
        <w:b/>
        <w:bCs/>
        <w:color w:val="5B3FA0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2026-03-18T02:14:54.974Z</dcterms:created>
  <dcterms:modified xsi:type="dcterms:W3CDTF">2026-03-18T02:14:54.974Z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