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B2AEFA3" wp14:paraId="3DF7772D" wp14:textId="28CCD80A">
      <w:pPr>
        <w:spacing w:before="165" w:beforeAutospacing="off" w:after="165" w:afterAutospacing="off"/>
        <w:jc w:val="right"/>
        <w:rPr>
          <w:rFonts w:ascii="Bahnschrift" w:hAnsi="Bahnschrift" w:eastAsia="Bahnschrift" w:cs="Bahnschrift"/>
          <w:i w:val="0"/>
          <w:iCs w:val="0"/>
          <w:noProof w:val="0"/>
          <w:sz w:val="18"/>
          <w:szCs w:val="18"/>
          <w:lang w:val="en-US"/>
        </w:rPr>
      </w:pPr>
      <w:r w:rsidRPr="2B2AEFA3" w:rsidR="516F6DB5">
        <w:rPr>
          <w:rFonts w:ascii="Bahnschrift" w:hAnsi="Bahnschrift" w:eastAsia="Bahnschrift" w:cs="Bahnschrift"/>
          <w:i w:val="0"/>
          <w:iCs w:val="0"/>
          <w:noProof w:val="0"/>
          <w:sz w:val="18"/>
          <w:szCs w:val="18"/>
          <w:lang w:val="en-US"/>
        </w:rPr>
        <w:t>22/03/2025</w:t>
      </w:r>
    </w:p>
    <w:p xmlns:wp14="http://schemas.microsoft.com/office/word/2010/wordml" w:rsidP="2B2AEFA3" wp14:paraId="782A5EFE" wp14:textId="4AD398D5">
      <w:pPr>
        <w:spacing w:before="20" w:beforeAutospacing="off" w:after="20" w:afterAutospacing="off" w:line="240" w:lineRule="auto"/>
        <w:jc w:val="right"/>
        <w:rPr>
          <w:rFonts w:ascii="Bahnschrift" w:hAnsi="Bahnschrift" w:eastAsia="Bahnschrift" w:cs="Bahnschrift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B2AEFA3" w:rsidR="383536FE">
        <w:rPr>
          <w:rFonts w:ascii="Bahnschrift" w:hAnsi="Bahnschrift" w:eastAsia="Bahnschrift" w:cs="Bahnschrift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Alexandru Darie</w:t>
      </w:r>
    </w:p>
    <w:p xmlns:wp14="http://schemas.microsoft.com/office/word/2010/wordml" w:rsidP="2B2AEFA3" wp14:paraId="062B8C72" wp14:textId="224C3F59">
      <w:pPr>
        <w:spacing w:before="20" w:beforeAutospacing="off" w:after="20" w:afterAutospacing="off" w:line="240" w:lineRule="auto"/>
        <w:jc w:val="right"/>
        <w:rPr>
          <w:rFonts w:ascii="Bahnschrift" w:hAnsi="Bahnschrift" w:eastAsia="Bahnschrift" w:cs="Bahnschrift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B2AEFA3" w:rsidR="383536FE">
        <w:rPr>
          <w:rFonts w:ascii="Bahnschrift" w:hAnsi="Bahnschrift" w:eastAsia="Bahnschrift" w:cs="Bahnschrift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Aitor </w:t>
      </w:r>
      <w:r w:rsidRPr="2B2AEFA3" w:rsidR="383536FE">
        <w:rPr>
          <w:rFonts w:ascii="Bahnschrift" w:hAnsi="Bahnschrift" w:eastAsia="Bahnschrift" w:cs="Bahnschrift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Cotano</w:t>
      </w:r>
    </w:p>
    <w:p xmlns:wp14="http://schemas.microsoft.com/office/word/2010/wordml" w:rsidP="2B2AEFA3" wp14:paraId="6753DE65" wp14:textId="6B78FDBE">
      <w:pPr>
        <w:spacing w:before="20" w:beforeAutospacing="off" w:after="20" w:afterAutospacing="off" w:line="240" w:lineRule="auto"/>
        <w:jc w:val="right"/>
        <w:rPr>
          <w:rFonts w:ascii="Bahnschrift" w:hAnsi="Bahnschrift" w:eastAsia="Bahnschrift" w:cs="Bahnschrift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B2AEFA3" w:rsidR="383536FE">
        <w:rPr>
          <w:rFonts w:ascii="Bahnschrift" w:hAnsi="Bahnschrift" w:eastAsia="Bahnschrift" w:cs="Bahnschrift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Diego Pomare</w:t>
      </w:r>
      <w:r w:rsidRPr="2B2AEFA3" w:rsidR="79F3CF61">
        <w:rPr>
          <w:rFonts w:ascii="Bahnschrift" w:hAnsi="Bahnschrift" w:eastAsia="Bahnschrift" w:cs="Bahnschrift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</w:t>
      </w:r>
    </w:p>
    <w:p xmlns:wp14="http://schemas.microsoft.com/office/word/2010/wordml" w:rsidP="2B2AEFA3" wp14:paraId="69F151E6" wp14:textId="6B4FD506">
      <w:pPr>
        <w:spacing w:before="20" w:beforeAutospacing="off" w:after="20" w:afterAutospacing="off" w:line="240" w:lineRule="auto"/>
        <w:jc w:val="right"/>
        <w:rPr>
          <w:rFonts w:ascii="Bahnschrift" w:hAnsi="Bahnschrift" w:eastAsia="Bahnschrift" w:cs="Bahnschrift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B2AEFA3" w:rsidR="383536FE">
        <w:rPr>
          <w:rFonts w:ascii="Bahnschrift" w:hAnsi="Bahnschrift" w:eastAsia="Bahnschrift" w:cs="Bahnschrift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Ivan Andrés</w:t>
      </w:r>
    </w:p>
    <w:p xmlns:wp14="http://schemas.microsoft.com/office/word/2010/wordml" w:rsidP="2B2AEFA3" wp14:paraId="2677C982" wp14:textId="6DC88731">
      <w:pPr>
        <w:spacing w:before="20" w:beforeAutospacing="off" w:after="20" w:afterAutospacing="off" w:line="240" w:lineRule="auto"/>
        <w:jc w:val="right"/>
        <w:rPr>
          <w:rFonts w:ascii="Bahnschrift" w:hAnsi="Bahnschrift" w:eastAsia="Bahnschrift" w:cs="Bahnschrift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B2AEFA3" w:rsidR="383536FE">
        <w:rPr>
          <w:rFonts w:ascii="Bahnschrift" w:hAnsi="Bahnschrift" w:eastAsia="Bahnschrift" w:cs="Bahnschrift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Peio López</w:t>
      </w:r>
    </w:p>
    <w:p xmlns:wp14="http://schemas.microsoft.com/office/word/2010/wordml" w:rsidP="2B2AEFA3" wp14:paraId="78DABA37" wp14:textId="06785848">
      <w:pPr>
        <w:spacing w:before="240" w:beforeAutospacing="off" w:after="240" w:afterAutospacing="off"/>
        <w:jc w:val="center"/>
        <w:rPr>
          <w:rFonts w:ascii="Bahnschrift" w:hAnsi="Bahnschrift" w:eastAsia="Bahnschrift" w:cs="Bahnschrift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2B2AEFA3" w:rsidR="2C1D83E9">
        <w:rPr>
          <w:rFonts w:ascii="Bahnschrift" w:hAnsi="Bahnschrift" w:eastAsia="Bahnschrift" w:cs="Bahnschrift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Informe: </w:t>
      </w:r>
      <w:r w:rsidRPr="2B2AEFA3" w:rsidR="2C1D83E9">
        <w:rPr>
          <w:rFonts w:ascii="Bahnschrift" w:hAnsi="Bahnschrift" w:eastAsia="Bahnschrift" w:cs="Bahnschrift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Patrón</w:t>
      </w:r>
      <w:r w:rsidRPr="2B2AEFA3" w:rsidR="2C1D83E9">
        <w:rPr>
          <w:rFonts w:ascii="Bahnschrift" w:hAnsi="Bahnschrift" w:eastAsia="Bahnschrift" w:cs="Bahnschrift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MVC + Observer</w:t>
      </w:r>
    </w:p>
    <w:p xmlns:wp14="http://schemas.microsoft.com/office/word/2010/wordml" w:rsidP="2B2AEFA3" wp14:paraId="0AF80240" wp14:textId="7ED5A925">
      <w:pPr>
        <w:spacing w:before="240" w:beforeAutospacing="off" w:after="240" w:afterAutospacing="off"/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</w:pP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El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patrón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MVC (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Modelo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-Vista-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Controlador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) es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una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forma de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estructurar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aplicaciones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separando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claramente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la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lógica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, la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presentación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y la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interacción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del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usuario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. En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enfoque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el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B2AEFA3" w:rsidR="2C1D83E9">
        <w:rPr>
          <w:rFonts w:ascii="Bahnschrift" w:hAnsi="Bahnschrift" w:eastAsia="Bahnschrift" w:cs="Bahnschrift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Modelo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representa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los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datos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y la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lógica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del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sistema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. La </w:t>
      </w:r>
      <w:r w:rsidRPr="2B2AEFA3" w:rsidR="2C1D83E9">
        <w:rPr>
          <w:rFonts w:ascii="Bahnschrift" w:hAnsi="Bahnschrift" w:eastAsia="Bahnschrift" w:cs="Bahnschrift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Vista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es la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interfaz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gráfica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encargada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2B2AEFA3" w:rsidR="17AB4691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renderizar</w:t>
      </w:r>
      <w:r w:rsidRPr="2B2AEFA3" w:rsidR="17AB4691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esos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datos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Finalmente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el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B2AEFA3" w:rsidR="2C1D83E9">
        <w:rPr>
          <w:rFonts w:ascii="Bahnschrift" w:hAnsi="Bahnschrift" w:eastAsia="Bahnschrift" w:cs="Bahnschrift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Controlador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es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quien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recibe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las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acciones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del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usuario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2B2AEFA3" w:rsidR="15EE8D8C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input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) y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comunica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esas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acciones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al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modelo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para que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actúe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consecuencia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2B2AEFA3" wp14:paraId="24565D03" wp14:textId="66037477">
      <w:pPr>
        <w:spacing w:before="240" w:beforeAutospacing="off" w:after="240" w:afterAutospacing="off"/>
        <w:ind w:left="0"/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</w:pP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Por otro lado, el patrón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Observer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permite que </w:t>
      </w:r>
      <w:r w:rsidRPr="2B2AEFA3" w:rsidR="1BB77C9A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los observables (que </w:t>
      </w:r>
      <w:r w:rsidRPr="2B2AEFA3" w:rsidR="1BB77C9A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est</w:t>
      </w:r>
      <w:r w:rsidRPr="2B2AEFA3" w:rsidR="2EBC7F32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a</w:t>
      </w:r>
      <w:r w:rsidRPr="2B2AEFA3" w:rsidR="1BB77C9A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n</w:t>
      </w:r>
      <w:r w:rsidRPr="2B2AEFA3" w:rsidR="1BB77C9A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dentro del modelo)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notifique</w:t>
      </w:r>
      <w:r w:rsidRPr="2B2AEFA3" w:rsidR="49320572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n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automáticamente a la todos los obser</w:t>
      </w:r>
      <w:r w:rsidRPr="2B2AEFA3" w:rsidR="4525BF5B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va</w:t>
      </w:r>
      <w:r w:rsidRPr="2B2AEFA3" w:rsidR="3BD3392C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dores</w:t>
      </w:r>
      <w:r w:rsidRPr="2B2AEFA3" w:rsidR="4525BF5B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r w:rsidRPr="2B2AEFA3" w:rsidR="00F6830F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la vist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a)</w:t>
      </w:r>
      <w:r w:rsidRPr="2B2AEFA3" w:rsidR="2AAEB0B8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cuando su</w:t>
      </w:r>
      <w:r w:rsidRPr="2B2AEFA3" w:rsidR="44BA817A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s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estado</w:t>
      </w:r>
      <w:r w:rsidRPr="2B2AEFA3" w:rsidR="73B98564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s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cambia</w:t>
      </w:r>
      <w:r w:rsidRPr="2B2AEFA3" w:rsidR="6A95DF58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n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. De esta forma, la vista puede actualizarse sin que el modelo tenga una referencia directa a ella. Este desacoplamiento es una de las grandes ventajas del uso conjunto de ambos patrones.</w:t>
      </w:r>
    </w:p>
    <w:p xmlns:wp14="http://schemas.microsoft.com/office/word/2010/wordml" w:rsidP="2B2AEFA3" wp14:paraId="22E76A72" wp14:textId="47FC2366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Bahnschrift" w:hAnsi="Bahnschrift" w:eastAsia="Bahnschrift" w:cs="Bahnschrift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B2AEFA3" w:rsidR="650D74F5">
        <w:rPr>
          <w:rFonts w:ascii="Bahnschrift" w:hAnsi="Bahnschrift" w:eastAsia="Bahnschrift" w:cs="Bahnschrift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Controlador</w:t>
      </w:r>
      <w:r w:rsidRPr="2B2AEFA3" w:rsidR="3B9E094E">
        <w:rPr>
          <w:rFonts w:ascii="Bahnschrift" w:hAnsi="Bahnschrift" w:eastAsia="Bahnschrift" w:cs="Bahnschrift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B2AEFA3" w:rsidR="3B9E094E">
        <w:rPr>
          <w:rFonts w:ascii="Bahnschrift" w:hAnsi="Bahnschrift" w:eastAsia="Bahnschrift" w:cs="Bahnschrift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Modelo</w:t>
      </w:r>
      <w:r w:rsidRPr="2B2AEFA3" w:rsidR="3B9E094E">
        <w:rPr>
          <w:rFonts w:ascii="Bahnschrift" w:hAnsi="Bahnschrift" w:eastAsia="Bahnschrift" w:cs="Bahnschrift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y Vista:</w:t>
      </w:r>
    </w:p>
    <w:p xmlns:wp14="http://schemas.microsoft.com/office/word/2010/wordml" w:rsidP="2B2AEFA3" wp14:paraId="7B20AE6F" wp14:textId="0684BA62">
      <w:pPr>
        <w:spacing w:before="240" w:beforeAutospacing="off" w:after="240" w:afterAutospacing="off"/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</w:pP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El </w:t>
      </w:r>
      <w:r w:rsidRPr="2B2AEFA3" w:rsidR="2C1D83E9">
        <w:rPr>
          <w:rFonts w:ascii="Bahnschrift" w:hAnsi="Bahnschrift" w:eastAsia="Bahnschrift" w:cs="Bahnschrift"/>
          <w:b w:val="1"/>
          <w:bCs w:val="1"/>
          <w:noProof w:val="0"/>
          <w:color w:val="000000" w:themeColor="text1" w:themeTint="FF" w:themeShade="FF"/>
          <w:sz w:val="22"/>
          <w:szCs w:val="22"/>
          <w:lang w:val="es-ES"/>
        </w:rPr>
        <w:t>controlador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cumple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el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rol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de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intermediario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entre la entrada del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usuario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y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el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modelo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. En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este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caso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,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está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implementado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como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un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KeyListener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que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detecta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cuándo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el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usuario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presiona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una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tecla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y llama a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los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métodos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correspondientes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del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modelo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,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como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mover al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personaje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o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soltar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una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bomba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.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El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controlador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no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interactúa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directamente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con la vista,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ni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maneja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la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lógica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de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presentación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.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Su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única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responsabilidad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es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traducir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las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acciones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del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usuario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en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instrucciones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para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el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modelo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xmlns:wp14="http://schemas.microsoft.com/office/word/2010/wordml" w:rsidP="2B2AEFA3" wp14:paraId="2DFAE92F" wp14:textId="75F74039">
      <w:pPr>
        <w:spacing w:before="240" w:beforeAutospacing="off" w:after="240" w:afterAutospacing="off"/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</w:pP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Por </w:t>
      </w:r>
      <w:r w:rsidRPr="2B2AEFA3" w:rsidR="6EADF564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otro </w:t>
      </w:r>
      <w:r w:rsidRPr="2B2AEFA3" w:rsidR="6EADF564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lado,</w:t>
      </w:r>
      <w:r w:rsidRPr="2B2AEFA3" w:rsidR="6EADF564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tenemos al </w:t>
      </w:r>
      <w:r w:rsidRPr="2B2AEFA3" w:rsidR="6EADF564">
        <w:rPr>
          <w:rFonts w:ascii="Bahnschrift" w:hAnsi="Bahnschrift" w:eastAsia="Bahnschrift" w:cs="Bahnschrift"/>
          <w:b w:val="1"/>
          <w:bCs w:val="1"/>
          <w:noProof w:val="0"/>
          <w:color w:val="000000" w:themeColor="text1" w:themeTint="FF" w:themeShade="FF"/>
          <w:sz w:val="22"/>
          <w:szCs w:val="22"/>
          <w:lang w:val="es-ES"/>
        </w:rPr>
        <w:t>modelo</w:t>
      </w:r>
      <w:r w:rsidRPr="2B2AEFA3" w:rsidR="2C1D83E9">
        <w:rPr>
          <w:rFonts w:ascii="Bahnschrift" w:hAnsi="Bahnschrift" w:eastAsia="Bahnschrift" w:cs="Bahnschrift"/>
          <w:b w:val="1"/>
          <w:bCs w:val="1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Cada vez que </w:t>
      </w:r>
      <w:r w:rsidRPr="2B2AEFA3" w:rsidR="6558DC9B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el estado de uno de sus componentes </w:t>
      </w:r>
      <w:r w:rsidRPr="2B2AEFA3" w:rsidR="762E9A2B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r w:rsidRPr="2B2AEFA3" w:rsidR="762E9A2B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Bomberman</w:t>
      </w:r>
      <w:r w:rsidRPr="2B2AEFA3" w:rsidR="762E9A2B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, Bomba, etc..)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cambia, </w:t>
      </w:r>
      <w:r w:rsidRPr="2B2AEFA3" w:rsidR="410E0B9F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dicho elemento </w:t>
      </w:r>
      <w:r w:rsidRPr="2B2AEFA3" w:rsidR="403F64A1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notifica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a todos l</w:t>
      </w:r>
      <w:r w:rsidRPr="2B2AEFA3" w:rsidR="70FF4CB1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a vista.</w:t>
      </w:r>
      <w:r w:rsidRPr="2B2AEFA3" w:rsidR="6D7EB674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Por ejemplo, un bloque es destruido en la </w:t>
      </w:r>
      <w:r w:rsidRPr="2B2AEFA3" w:rsidR="6D7EB674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logica</w:t>
      </w:r>
      <w:r w:rsidRPr="2B2AEFA3" w:rsidR="6D7EB674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. El bloque notifica que ha sido destruido a la vista.</w:t>
      </w:r>
    </w:p>
    <w:p xmlns:wp14="http://schemas.microsoft.com/office/word/2010/wordml" w:rsidP="2B2AEFA3" wp14:paraId="37C317DC" wp14:textId="2FF7E3CC">
      <w:pPr>
        <w:spacing w:before="240" w:beforeAutospacing="off" w:after="240" w:afterAutospacing="off"/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</w:pP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En este caso, la </w:t>
      </w:r>
      <w:r w:rsidRPr="2B2AEFA3" w:rsidR="2C1D83E9">
        <w:rPr>
          <w:rFonts w:ascii="Bahnschrift" w:hAnsi="Bahnschrift" w:eastAsia="Bahnschrift" w:cs="Bahnschrift"/>
          <w:b w:val="1"/>
          <w:bCs w:val="1"/>
          <w:noProof w:val="0"/>
          <w:color w:val="000000" w:themeColor="text1" w:themeTint="FF" w:themeShade="FF"/>
          <w:sz w:val="22"/>
          <w:szCs w:val="22"/>
          <w:lang w:val="es-ES"/>
        </w:rPr>
        <w:t xml:space="preserve">vista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está registrada como observador. </w:t>
      </w:r>
      <w:r w:rsidRPr="2B2AEFA3" w:rsidR="54B0D39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Se actualiza automáticamente acorde con las notificaciones recibidas de los observables.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La vista interpreta </w:t>
      </w:r>
      <w:r w:rsidRPr="2B2AEFA3" w:rsidR="07F4C84F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los argumentos de las notificaciones para solo realizar las actualizaciones necesarias. Por ejemplo, </w:t>
      </w:r>
      <w:r w:rsidRPr="2B2AEFA3" w:rsidR="4A1C3E14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se ha recibido una notificación que indica que un bloque ha sido destruido. Se actualiza el </w:t>
      </w:r>
      <w:r w:rsidRPr="2B2AEFA3" w:rsidR="4A1C3E14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sprite</w:t>
      </w:r>
      <w:r w:rsidRPr="2B2AEFA3" w:rsidR="4A1C3E14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del bloque especificado.</w:t>
      </w:r>
    </w:p>
    <w:p xmlns:wp14="http://schemas.microsoft.com/office/word/2010/wordml" w:rsidP="2B2AEFA3" wp14:paraId="09D8DCEC" wp14:textId="3AAA0316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Bahnschrift" w:hAnsi="Bahnschrift" w:eastAsia="Bahnschrift" w:cs="Bahnschrift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B2AEFA3" w:rsidR="7CD70F34">
        <w:rPr>
          <w:rFonts w:ascii="Bahnschrift" w:hAnsi="Bahnschrift" w:eastAsia="Bahnschrift" w:cs="Bahnschrift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Notify y Update:</w:t>
      </w:r>
    </w:p>
    <w:p xmlns:wp14="http://schemas.microsoft.com/office/word/2010/wordml" w:rsidP="2B2AEFA3" wp14:paraId="06346703" wp14:textId="48AA9C20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</w:pPr>
      <w:r w:rsidRPr="2B2AEFA3" w:rsidR="7CD70F34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Ya se ha descrito la relación entre el modelo y la vista. El modelo notifica a la vista de los cambios que hay que hacer, y esta se actualiza automáticamente. En este caso, la mayoría de </w:t>
      </w:r>
      <w:r w:rsidRPr="2B2AEFA3" w:rsidR="7CD70F34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elementos</w:t>
      </w:r>
      <w:r w:rsidRPr="2B2AEFA3" w:rsidR="7CD70F34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del modelo al ser un videojuego son observables mientras que la vista cumple el rol de observador.  </w:t>
      </w:r>
      <w:r w:rsidRPr="2B2AEFA3" w:rsidR="7CD70F34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Los elementos observables utilizan un método llamado </w:t>
      </w:r>
      <w:r w:rsidRPr="2B2AEFA3" w:rsidR="7CD70F34">
        <w:rPr>
          <w:rFonts w:ascii="Bahnschrift" w:hAnsi="Bahnschrift" w:eastAsia="Bahnschrift" w:cs="Bahnschrift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notifyObservers</w:t>
      </w:r>
      <w:r w:rsidRPr="2B2AEFA3" w:rsidR="7CD70F34">
        <w:rPr>
          <w:rFonts w:ascii="Bahnschrift" w:hAnsi="Bahnschrift" w:eastAsia="Bahnschrift" w:cs="Bahnschrift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()</w:t>
      </w:r>
      <w:r w:rsidRPr="2B2AEFA3" w:rsidR="7CD70F34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el cual recibe argumentos de tipo </w:t>
      </w:r>
      <w:r w:rsidRPr="2B2AEFA3" w:rsidR="7CD70F34">
        <w:rPr>
          <w:rFonts w:ascii="Bahnschrift" w:hAnsi="Bahnschrift" w:eastAsia="Bahnschrift" w:cs="Bahnschrift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String</w:t>
      </w:r>
      <w:r w:rsidRPr="2B2AEFA3" w:rsidR="7CD70F34">
        <w:rPr>
          <w:rFonts w:ascii="Bahnschrift" w:hAnsi="Bahnschrift" w:eastAsia="Bahnschrift" w:cs="Bahnschrift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B2AEFA3" w:rsidR="7CD70F34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para indicar el tipo de cambio que se va a llevar a cabo. El método </w:t>
      </w:r>
      <w:r w:rsidRPr="2B2AEFA3" w:rsidR="7CD70F34">
        <w:rPr>
          <w:rFonts w:ascii="Bahnschrift" w:hAnsi="Bahnschrift" w:eastAsia="Bahnschrift" w:cs="Bahnschrift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Update</w:t>
      </w:r>
      <w:r w:rsidRPr="2B2AEFA3" w:rsidR="7CD70F34">
        <w:rPr>
          <w:rFonts w:ascii="Bahnschrift" w:hAnsi="Bahnschrift" w:eastAsia="Bahnschrift" w:cs="Bahnschrift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()</w:t>
      </w:r>
      <w:r w:rsidRPr="2B2AEFA3" w:rsidR="7CD70F34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en la vista utiliza estos argumentos para realizar el cambio pedido.</w:t>
      </w:r>
      <w:r w:rsidRPr="2B2AEFA3" w:rsidR="7CD70F34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Por ejemplo, </w:t>
      </w:r>
      <w:r w:rsidRPr="2B2AEFA3" w:rsidR="7CD70F34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Bomberman</w:t>
      </w:r>
      <w:r w:rsidRPr="2B2AEFA3" w:rsidR="7CD70F34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 muere. En este caso, se notificará a la vista con el siguiente argumento: </w:t>
      </w:r>
      <w:r w:rsidRPr="2B2AEFA3" w:rsidR="7CD70F34">
        <w:rPr>
          <w:rFonts w:ascii="Bahnschrift" w:hAnsi="Bahnschrift" w:eastAsia="Bahnschrift" w:cs="Bahnschrift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“</w:t>
      </w:r>
      <w:r w:rsidRPr="2B2AEFA3" w:rsidR="7CD70F34">
        <w:rPr>
          <w:rFonts w:ascii="Bahnschrift" w:hAnsi="Bahnschrift" w:eastAsia="Bahnschrift" w:cs="Bahnschrift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Dead</w:t>
      </w:r>
      <w:r w:rsidRPr="2B2AEFA3" w:rsidR="7CD70F34">
        <w:rPr>
          <w:rFonts w:ascii="Bahnschrift" w:hAnsi="Bahnschrift" w:eastAsia="Bahnschrift" w:cs="Bahnschrift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”</w:t>
      </w:r>
      <w:r w:rsidRPr="2B2AEFA3" w:rsidR="7CD70F34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. El método </w:t>
      </w:r>
      <w:r w:rsidRPr="2B2AEFA3" w:rsidR="7CD70F34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>U</w:t>
      </w:r>
      <w:r w:rsidRPr="2B2AEFA3" w:rsidR="7CD70F34">
        <w:rPr>
          <w:rFonts w:ascii="Bahnschrift" w:hAnsi="Bahnschrift" w:eastAsia="Bahnschrift" w:cs="Bahnschrift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pdate</w:t>
      </w:r>
      <w:r w:rsidRPr="2B2AEFA3" w:rsidR="7CD70F34">
        <w:rPr>
          <w:rFonts w:ascii="Bahnschrift" w:hAnsi="Bahnschrift" w:eastAsia="Bahnschrift" w:cs="Bahnschrift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 xml:space="preserve">() </w:t>
      </w:r>
      <w:r w:rsidRPr="2B2AEFA3" w:rsidR="7CD70F34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s-ES"/>
        </w:rPr>
        <w:t xml:space="preserve">de la vista, al leer el argumento, llama al método privado </w:t>
      </w:r>
      <w:r w:rsidRPr="2B2AEFA3" w:rsidR="7CD70F34">
        <w:rPr>
          <w:rFonts w:ascii="Bahnschrift" w:hAnsi="Bahnschrift" w:eastAsia="Bahnschrift" w:cs="Bahnschrift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actualizarMuerte</w:t>
      </w:r>
      <w:r w:rsidRPr="2B2AEFA3" w:rsidR="7CD70F34">
        <w:rPr>
          <w:rFonts w:ascii="Bahnschrift" w:hAnsi="Bahnschrift" w:eastAsia="Bahnschrift" w:cs="Bahnschrift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().</w:t>
      </w:r>
    </w:p>
    <w:p xmlns:wp14="http://schemas.microsoft.com/office/word/2010/wordml" w:rsidP="2B2AEFA3" wp14:paraId="23EF9CB1" wp14:textId="6CE1D9B1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="428B8BF8">
        <w:drawing>
          <wp:inline xmlns:wp14="http://schemas.microsoft.com/office/word/2010/wordprocessingDrawing" wp14:editId="647B950A" wp14:anchorId="4DF445EF">
            <wp:extent cx="5557905" cy="5007250"/>
            <wp:effectExtent l="0" t="0" r="0" b="0"/>
            <wp:docPr id="2109706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bb7d7ab7db46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905" cy="500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2AEFA3" wp14:paraId="10DA5C57" wp14:textId="28D840D9">
      <w:pPr>
        <w:spacing w:before="240" w:beforeAutospacing="off" w:after="240" w:afterAutospacing="off"/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</w:pP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Este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flujo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comunicación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permite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el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modelo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y la vista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estén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completamente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desacoplados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. El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modelo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no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necesita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saber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qué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vista lo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observa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ni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cómo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se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actualiza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visualmente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. Solo se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encarga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mantener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el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estado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del juego y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notificar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cambios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. La vista, al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recibir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esos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eventos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, decide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cómo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representarlos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gráficamente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. Este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mecanismo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hace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el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sistema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sea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más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mantenible</w:t>
      </w:r>
      <w:r w:rsidRPr="2B2AEFA3" w:rsidR="2C1D83E9">
        <w:rPr>
          <w:rFonts w:ascii="Bahnschrift" w:hAnsi="Bahnschrift" w:eastAsia="Bahnschrift" w:cs="Bahnschrift"/>
          <w:noProof w:val="0"/>
          <w:color w:val="000000" w:themeColor="text1" w:themeTint="FF" w:themeShade="FF"/>
          <w:sz w:val="22"/>
          <w:szCs w:val="22"/>
          <w:lang w:val="en-US"/>
        </w:rPr>
        <w:t>, modular y flexible.</w:t>
      </w:r>
    </w:p>
    <w:p xmlns:wp14="http://schemas.microsoft.com/office/word/2010/wordml" wp14:paraId="2C078E63" wp14:textId="7150EA7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E76FD6"/>
    <w:rsid w:val="00A9E83F"/>
    <w:rsid w:val="00F6830F"/>
    <w:rsid w:val="018B90CA"/>
    <w:rsid w:val="035CF9AA"/>
    <w:rsid w:val="0546591A"/>
    <w:rsid w:val="072EB715"/>
    <w:rsid w:val="076E621B"/>
    <w:rsid w:val="07F4C84F"/>
    <w:rsid w:val="0A5ED0F5"/>
    <w:rsid w:val="0CF8D2BB"/>
    <w:rsid w:val="0D6C539C"/>
    <w:rsid w:val="15EE8D8C"/>
    <w:rsid w:val="17AB4691"/>
    <w:rsid w:val="1A2A2C47"/>
    <w:rsid w:val="1B007AD9"/>
    <w:rsid w:val="1B508475"/>
    <w:rsid w:val="1BB77C9A"/>
    <w:rsid w:val="1DB1C71B"/>
    <w:rsid w:val="2069A371"/>
    <w:rsid w:val="252AEC61"/>
    <w:rsid w:val="262C31CC"/>
    <w:rsid w:val="2AAEB0B8"/>
    <w:rsid w:val="2B1E4CCB"/>
    <w:rsid w:val="2B2AEFA3"/>
    <w:rsid w:val="2C1D83E9"/>
    <w:rsid w:val="2C2710AE"/>
    <w:rsid w:val="2D82AA56"/>
    <w:rsid w:val="2E6FB64A"/>
    <w:rsid w:val="2EBC7F32"/>
    <w:rsid w:val="30BFBD28"/>
    <w:rsid w:val="31807909"/>
    <w:rsid w:val="31B43079"/>
    <w:rsid w:val="355A030B"/>
    <w:rsid w:val="383536FE"/>
    <w:rsid w:val="39E76FD6"/>
    <w:rsid w:val="3B9E094E"/>
    <w:rsid w:val="3BCC1B12"/>
    <w:rsid w:val="3BD3392C"/>
    <w:rsid w:val="3F8B14F4"/>
    <w:rsid w:val="403F64A1"/>
    <w:rsid w:val="410E0B9F"/>
    <w:rsid w:val="426C6EC1"/>
    <w:rsid w:val="428B8BF8"/>
    <w:rsid w:val="44BA817A"/>
    <w:rsid w:val="4525BF5B"/>
    <w:rsid w:val="464E6D08"/>
    <w:rsid w:val="4781BC35"/>
    <w:rsid w:val="479001D5"/>
    <w:rsid w:val="49320572"/>
    <w:rsid w:val="4A1C3E14"/>
    <w:rsid w:val="50CB3895"/>
    <w:rsid w:val="516F6DB5"/>
    <w:rsid w:val="5179CA17"/>
    <w:rsid w:val="52F2A131"/>
    <w:rsid w:val="53897F6A"/>
    <w:rsid w:val="546EEF37"/>
    <w:rsid w:val="5475D090"/>
    <w:rsid w:val="549EC411"/>
    <w:rsid w:val="54A2F4CC"/>
    <w:rsid w:val="54B0D399"/>
    <w:rsid w:val="5AE59B20"/>
    <w:rsid w:val="601D6151"/>
    <w:rsid w:val="60BE9617"/>
    <w:rsid w:val="61D1F0A9"/>
    <w:rsid w:val="634E9DA1"/>
    <w:rsid w:val="650D74F5"/>
    <w:rsid w:val="6558DC9B"/>
    <w:rsid w:val="65A71470"/>
    <w:rsid w:val="6A95DF58"/>
    <w:rsid w:val="6AD01BDD"/>
    <w:rsid w:val="6B7DDDCB"/>
    <w:rsid w:val="6C174F9F"/>
    <w:rsid w:val="6D388FA7"/>
    <w:rsid w:val="6D7EB674"/>
    <w:rsid w:val="6D8F70B2"/>
    <w:rsid w:val="6DB4F5E3"/>
    <w:rsid w:val="6EADF564"/>
    <w:rsid w:val="70FF4CB1"/>
    <w:rsid w:val="715E51CD"/>
    <w:rsid w:val="73B98564"/>
    <w:rsid w:val="74420770"/>
    <w:rsid w:val="74440979"/>
    <w:rsid w:val="762E9A2B"/>
    <w:rsid w:val="79F3CF61"/>
    <w:rsid w:val="7A32AB68"/>
    <w:rsid w:val="7B07F079"/>
    <w:rsid w:val="7B262F78"/>
    <w:rsid w:val="7CD70F34"/>
    <w:rsid w:val="7D2D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6FD6"/>
  <w15:chartTrackingRefBased/>
  <w15:docId w15:val="{7346C962-AA78-47DA-BDE3-E379BC0EF4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3bb7d7ab7db468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2025-03-22T20:18:44.9307817Z</dcterms:created>
  <dcterms:modified xsi:type="dcterms:W3CDTF">2025-03-22T20:59:18.4028005Z</dcterms:modified>
  <dc:creator>Diego Pomares Otero</dc:creator>
  <lastModifiedBy>Diego Pomares Otero</lastModifiedBy>
</coreProperties>
</file>