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the-title" w:name="unit-x-the-title"/>
    <w:p>
      <w:pPr>
        <w:pStyle w:val="Heading1"/>
      </w:pPr>
      <w:r>
        <w:t xml:space="preserve">Unit X: The Title</w:t>
      </w:r>
    </w:p>
    <w:bookmarkEnd w:id="unit-x-the-title"/>
    <w:bookmarkStart w:id="the-subtitle" w:name="the-subtitle"/>
    <w:p>
      <w:pPr>
        <w:pStyle w:val="Heading3"/>
      </w:pPr>
      <w:r>
        <w:t xml:space="preserve">The Subtitle</w:t>
      </w:r>
    </w:p>
    <w:bookmarkEnd w:id="the-sub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3581400" cy="38100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3581400" cy="38100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A. B. C. D. ANSWER: A,B POINTS: 5 TYPE: MS</w:t>
      </w:r>
    </w:p>
    <w:p>
      <w:r>
        <w:t xml:space="preserve">Q: ANSWER: POINTS: 5 TYPE: FB</w:t>
      </w:r>
    </w:p>
    <w:p>
      <w:r>
        <w:t xml:space="preserve">Q: ANSWER: POINTS: 5 TYPE: SA</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t>
      </w:r>
    </w:p>
    <w:p>
      <w:pPr>
        <w:numPr>
          <w:numId w:val="3"/>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r>
        <w:t xml:space="preserve">Beginnings of pop:</w:t>
      </w:r>
    </w:p>
    <w:p>
      <w:pPr>
        <w:numPr>
          <w:numId w:val="5"/>
          <w:ilvl w:val="1"/>
        </w:numPr>
      </w:pPr>
      <w:r>
        <w:t xml:space="preserve">Hamilton</w:t>
      </w:r>
    </w:p>
    <w:p>
      <w:pPr>
        <w:numPr>
          <w:numId w:val="5"/>
          <w:ilvl w:val="1"/>
        </w:numPr>
      </w:pPr>
      <w:r>
        <w:t xml:space="preserve">Cage</w:t>
      </w:r>
    </w:p>
    <w:p>
      <w:pPr>
        <w:numPr>
          <w:numId w:val="5"/>
          <w:ilvl w:val="0"/>
        </w:numPr>
      </w:pPr>
      <w:r>
        <w:t xml:space="preserve">A blending of media</w:t>
      </w:r>
    </w:p>
    <w:p>
      <w:pPr>
        <w:numPr>
          <w:numId w:val="6"/>
          <w:ilvl w:val="1"/>
        </w:numPr>
      </w:pPr>
      <w:r>
        <w:t xml:space="preserve">Johns</w:t>
      </w:r>
    </w:p>
    <w:p>
      <w:pPr>
        <w:numPr>
          <w:numId w:val="6"/>
          <w:ilvl w:val="1"/>
        </w:numPr>
      </w:pPr>
      <w:r>
        <w:t xml:space="preserve">Rauschenberg</w:t>
      </w:r>
    </w:p>
    <w:p>
      <w:pPr>
        <w:numPr>
          <w:numId w:val="6"/>
          <w:ilvl w:val="1"/>
        </w:numPr>
      </w:pPr>
      <w:r>
        <w:t xml:space="preserve">Claes Oldenburg</w:t>
      </w:r>
    </w:p>
    <w:p>
      <w:pPr>
        <w:numPr>
          <w:numId w:val="6"/>
          <w:ilvl w:val="0"/>
        </w:numPr>
      </w:pPr>
      <w:r>
        <w:t xml:space="preserve">Pop and commercialism</w:t>
      </w:r>
    </w:p>
    <w:p>
      <w:pPr>
        <w:numPr>
          <w:numId w:val="7"/>
          <w:ilvl w:val="1"/>
        </w:numPr>
      </w:pPr>
      <w:r>
        <w:t xml:space="preserve">Roy Lichtenstein</w:t>
      </w:r>
    </w:p>
    <w:p>
      <w:pPr>
        <w:numPr>
          <w:numId w:val="7"/>
          <w:ilvl w:val="1"/>
        </w:numPr>
      </w:pPr>
      <w:r>
        <w:t xml:space="preserve">James Rosenquist</w:t>
      </w:r>
    </w:p>
    <w:p>
      <w:pPr>
        <w:numPr>
          <w:numId w:val="7"/>
          <w:ilvl w:val="1"/>
        </w:numPr>
      </w:pPr>
      <w:r>
        <w:t xml:space="preserve">Andy Warhol</w:t>
      </w:r>
    </w:p>
    <w:p>
      <w:pPr>
        <w:numPr>
          <w:numId w:val="7"/>
          <w:ilvl w:val="0"/>
        </w:numPr>
      </w:pPr>
      <w:r>
        <w:t xml:space="preserve">Super realism</w:t>
      </w:r>
    </w:p>
    <w:p>
      <w:pPr>
        <w:numPr>
          <w:numId w:val="8"/>
          <w:ilvl w:val="1"/>
        </w:numPr>
      </w:pPr>
      <w:r>
        <w:t xml:space="preserve">Chuck Close</w:t>
      </w:r>
    </w:p>
    <w:p>
      <w:pPr>
        <w:numPr>
          <w:numId w:val="8"/>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randomIDQ.py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 w:name="discussion-board-question"/>
    <w:p>
      <w:pPr>
        <w:pStyle w:val="Heading4"/>
      </w:pPr>
      <w:r>
        <w:t xml:space="preserve">Discussion Board Question</w:t>
      </w:r>
    </w:p>
    <w:bookmarkEnd w:id="discussion-board-question"/>
    <w:p>
      <w:r>
        <w:t xml:space="preserve">Now that you have become familiar with the artists and concepts presented in this unit, it is time to start making connections. Here is your chance to apply what you learned in the readings to some of the artwork you have seen.</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5"/>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4"/>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9"/>
          <w:ilvl w:val="0"/>
        </w:numPr>
      </w:pPr>
      <w:r>
        <w:t xml:space="preserve">artist a</w:t>
      </w:r>
    </w:p>
    <w:p>
      <w:pPr>
        <w:numPr>
          <w:numId w:val="9"/>
          <w:ilvl w:val="0"/>
        </w:numPr>
      </w:pPr>
      <w:r>
        <w:t xml:space="preserve">artist b</w:t>
      </w:r>
    </w:p>
    <w:p>
      <w:pPr>
        <w:numPr>
          <w:numId w:val="9"/>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0"/>
          <w:ilvl w:val="0"/>
        </w:numPr>
      </w:pPr>
      <w:r>
        <w:t xml:space="preserve">link a to</w:t>
      </w:r>
      <w:r>
        <w:t xml:space="preserve"> </w:t>
      </w:r>
      <w:hyperlink r:id="link1">
        <w:r>
          <w:rPr>
            <w:rStyle w:val="Hyperlink"/>
          </w:rPr>
          <w:t xml:space="preserve">site a</w:t>
        </w:r>
      </w:hyperlink>
    </w:p>
    <w:p>
      <w:pPr>
        <w:numPr>
          <w:numId w:val="10"/>
          <w:ilvl w:val="0"/>
        </w:numPr>
      </w:pPr>
      <w:r>
        <w:t xml:space="preserve">link b to</w:t>
      </w:r>
      <w:r>
        <w:t xml:space="preserve"> </w:t>
      </w:r>
      <w:hyperlink r:id="link1">
        <w:r>
          <w:rPr>
            <w:rStyle w:val="Hyperlink"/>
          </w:rPr>
          <w:t xml:space="preserve">site b</w:t>
        </w:r>
      </w:hyperlink>
    </w:p>
    <w:p>
      <w:pPr>
        <w:numPr>
          <w:numId w:val="10"/>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