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" w:name="b"/>
    <w:p>
      <w:pPr>
        <w:pStyle w:val="Heading2"/>
      </w:pPr>
      <w:r>
        <w:t xml:space="preserve">B</w:t>
      </w:r>
    </w:p>
    <w:bookmarkEnd w:id="b"/>
    <w:p>
      <w:r>
        <w:drawing>
          <wp:inline>
            <wp:extent cx="7620000" cy="4953000"/>
            <wp:effectExtent b="0" l="0" r="0" t="0"/>
            <wp:docPr descr="The Year of Peril, Embarkation" id="1" name="Picture"/>
            <a:graphic>
              <a:graphicData uri="http://schemas.openxmlformats.org/drawingml/2006/picture">
                <pic:pic>
                  <pic:nvPicPr>
                    <pic:cNvPr descr="../images/Benton.1942.Embark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Thomas Hart Benton, "The Year of Peril, Embarkation"</w:t>
      </w:r>
    </w:p>
    <w:bookmarkStart w:id="g" w:name="g"/>
    <w:p>
      <w:pPr>
        <w:pStyle w:val="Heading2"/>
      </w:pPr>
      <w:r>
        <w:t xml:space="preserve">G</w:t>
      </w:r>
    </w:p>
    <w:bookmarkEnd w:id="g"/>
    <w:p>
      <w:r>
        <w:drawing>
          <wp:inline>
            <wp:extent cx="1130300" cy="1524000"/>
            <wp:effectExtent b="0" l="0" r="0" t="0"/>
            <wp:docPr descr="The Hero" id="1" name="Picture"/>
            <a:graphic>
              <a:graphicData uri="http://schemas.openxmlformats.org/drawingml/2006/picture">
                <pic:pic>
                  <pic:nvPicPr>
                    <pic:cNvPr descr="../images/grosz.1936.TheHer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George Grosz, "The Hero", 1936</w:t>
      </w:r>
    </w:p>
    <w:bookmarkStart w:id="h" w:name="h"/>
    <w:p>
      <w:pPr>
        <w:pStyle w:val="Heading2"/>
      </w:pPr>
      <w:r>
        <w:t xml:space="preserve">H</w:t>
      </w:r>
    </w:p>
    <w:bookmarkEnd w:id="h"/>
    <w:bookmarkStart w:id="richard-hamilton" w:name="richard-hamilton"/>
    <w:p>
      <w:pPr>
        <w:pStyle w:val="Heading3"/>
      </w:pPr>
      <w:r>
        <w:t xml:space="preserve">Richard Hamilton</w:t>
      </w:r>
    </w:p>
    <w:bookmarkEnd w:id="richard-hamilton"/>
    <w:p>
      <w:pPr>
        <w:pStyle w:val="SourceCode"/>
      </w:pPr>
      <w:r>
        <w:rPr>
          <w:rStyle w:val="VerbatimChar"/>
        </w:rPr>
        <w:t xml:space="preserve">b. 1922</w:t>
      </w:r>
    </w:p>
    <w:p>
      <w:r>
        <w:drawing>
          <wp:inline>
            <wp:extent cx="2730500" cy="2908300"/>
            <wp:effectExtent b="0" l="0" r="0" t="0"/>
            <wp:docPr descr="The Hero" id="1" name="Picture"/>
            <a:graphic>
              <a:graphicData uri="http://schemas.openxmlformats.org/drawingml/2006/picture">
                <pic:pic>
                  <pic:nvPicPr>
                    <pic:cNvPr descr="../images/hamilton.1956.JustWhatSoAppealin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SourceCode"/>
      </w:pPr>
      <w:r>
        <w:rPr>
          <w:rStyle w:val="VerbatimChar"/>
        </w:rPr>
        <w:t xml:space="preserve">Just What Is It That Makes Today’s Homes So Different, So Appealing?, </w:t>
      </w:r>
      <w:br/>
      <w:r>
        <w:rPr>
          <w:rStyle w:val="VerbatimChar"/>
        </w:rPr>
        <w:t xml:space="preserve">1956 </w:t>
      </w:r>
      <w:br/>
      <w:r>
        <w:rPr>
          <w:rStyle w:val="VerbatimChar"/>
        </w:rPr>
        <w:t xml:space="preserve">Collage</w:t>
      </w:r>
      <w:br/>
      <w:r>
        <w:rPr>
          <w:rStyle w:val="VerbatimChar"/>
        </w:rPr>
        <w:t xml:space="preserve">10 1/4” x 9 3/4”</w:t>
      </w:r>
      <w:br/>
      <w:r>
        <w:rPr>
          <w:rStyle w:val="VerbatimChar"/>
        </w:rPr>
        <w:t xml:space="preserve">Kunsthalle Tübingen, Tübingen, Germany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jpeg" /><Relationship Type="http://schemas.openxmlformats.org/officeDocument/2006/relationships/image" Id="image2" Target="media/image2.jpeg" /><Relationship Type="http://schemas.openxmlformats.org/officeDocument/2006/relationships/image" Id="image3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