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b" w:name="b"/>
    <w:p>
      <w:pPr>
        <w:pStyle w:val="Heading2"/>
      </w:pPr>
      <w:r>
        <w:t xml:space="preserve">B</w:t>
      </w:r>
    </w:p>
    <w:bookmarkEnd w:id="b"/>
    <w:p>
      <w:r>
        <w:t xml:space="preserve">Thomas Hart Benton, "The Year of Peril, Embarkation"</w:t>
      </w:r>
    </w:p>
    <w:p>
      <w:pPr>
        <w:pStyle w:val="ImageCaption"/>
      </w:pPr>
      <w:r>
        <w:t xml:space="preserve">Thomas Hart Benton, "The Year of Peril, Embarkation"</w:t>
      </w:r>
    </w:p>
    <w:bookmarkStart w:id="g" w:name="g"/>
    <w:p>
      <w:pPr>
        <w:pStyle w:val="Heading2"/>
      </w:pPr>
      <w:r>
        <w:t xml:space="preserve">G</w:t>
      </w:r>
    </w:p>
    <w:bookmarkEnd w:id="g"/>
    <w:p>
      <w:r>
        <w:t xml:space="preserve">George Grosz, "The Hero", 1936</w:t>
      </w:r>
    </w:p>
    <w:p>
      <w:pPr>
        <w:pStyle w:val="ImageCaption"/>
      </w:pPr>
      <w:r>
        <w:t xml:space="preserve">George Grosz, "The Hero", 1936</w:t>
      </w:r>
    </w:p>
    <w:bookmarkStart w:id="h" w:name="h"/>
    <w:p>
      <w:pPr>
        <w:pStyle w:val="Heading2"/>
      </w:pPr>
      <w:r>
        <w:t xml:space="preserve">H</w:t>
      </w:r>
    </w:p>
    <w:bookmarkEnd w:id="h"/>
    <w:bookmarkStart w:id="richard-hamilton" w:name="richard-hamilton"/>
    <w:p>
      <w:pPr>
        <w:pStyle w:val="Heading3"/>
      </w:pPr>
      <w:r>
        <w:t xml:space="preserve">Richard Hamilton</w:t>
      </w:r>
    </w:p>
    <w:bookmarkEnd w:id="richard-hamilton"/>
    <w:p>
      <w:pPr>
        <w:pStyle w:val="SourceCode"/>
      </w:pPr>
      <w:r>
        <w:rPr>
          <w:rStyle w:val="VerbatimChar"/>
        </w:rPr>
        <w:t xml:space="preserve">b. 1922</w:t>
      </w:r>
    </w:p>
    <w:p>
      <w:r>
        <w:t xml:space="preserve">RICHARD HAMILTON,</w:t>
      </w:r>
      <w:r>
        <w:t xml:space="preserve"> </w:t>
      </w:r>
      <w:r>
        <w:rPr>
          <w:i/>
        </w:rPr>
        <w:t xml:space="preserve">Just What Is It That Makes Today’s Homes So Different, So Appealing?</w:t>
      </w:r>
      <w:r>
        <w:t xml:space="preserve">, 1956. Collage</w:t>
      </w:r>
    </w:p>
    <w:p>
      <w:pPr>
        <w:pStyle w:val="ImageCaption"/>
      </w:pPr>
      <w:r>
        <w:t xml:space="preserve">RICHARD HAMILTON,</w:t>
      </w:r>
      <w:r>
        <w:t xml:space="preserve"> </w:t>
      </w:r>
      <w:r>
        <w:rPr>
          <w:i/>
        </w:rPr>
        <w:t xml:space="preserve">Just What Is It That Makes Today’s Homes So Different, So Appealing?</w:t>
      </w:r>
      <w:r>
        <w:t xml:space="preserve">, 1956. Collage</w:t>
      </w:r>
    </w:p>
    <w:p>
      <w:pPr>
        <w:pStyle w:val="SourceCode"/>
      </w:pPr>
      <w:r>
        <w:rPr>
          <w:rStyle w:val="VerbatimChar"/>
        </w:rPr>
        <w:t xml:space="preserve">Just What Is It That Makes Today’s Homes So Different, So Appealing?, </w:t>
      </w:r>
      <w:br/>
      <w:r>
        <w:rPr>
          <w:rStyle w:val="VerbatimChar"/>
        </w:rPr>
        <w:t xml:space="preserve">1956 </w:t>
      </w:r>
      <w:br/>
      <w:r>
        <w:rPr>
          <w:rStyle w:val="VerbatimChar"/>
        </w:rPr>
        <w:t xml:space="preserve">Collage</w:t>
      </w:r>
      <w:br/>
      <w:r>
        <w:rPr>
          <w:rStyle w:val="VerbatimChar"/>
        </w:rPr>
        <w:t xml:space="preserve">10 1/4” x 9 3/4”</w:t>
      </w:r>
      <w:br/>
      <w:r>
        <w:rPr>
          <w:rStyle w:val="VerbatimChar"/>
        </w:rPr>
        <w:t xml:space="preserve">Kunsthalle Tübingen, Tübingen, Germany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