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urse-outline" w:name="course-outline"/>
    <w:p>
      <w:pPr>
        <w:pStyle w:val="Heading1"/>
      </w:pPr>
      <w:r>
        <w:t xml:space="preserve">Course Outline</w:t>
      </w:r>
    </w:p>
    <w:bookmarkEnd w:id="course-outline"/>
    <w:p>
      <w:pPr>
        <w:pStyle w:val="SourceCode"/>
      </w:pPr>
      <w:r>
        <w:rPr>
          <w:rStyle w:val="VerbatimChar"/>
        </w:rPr>
        <w:t xml:space="preserve">Course Number: ART 125</w:t>
      </w:r>
      <w:br/>
      <w:r>
        <w:rPr>
          <w:rStyle w:val="VerbatimChar"/>
        </w:rPr>
        <w:t xml:space="preserve">Course Title:   Topics in Contemporary Art</w:t>
      </w:r>
      <w:br/>
      <w:r>
        <w:rPr>
          <w:rStyle w:val="VerbatimChar"/>
        </w:rPr>
        <w:t xml:space="preserve">Credits: 3</w:t>
      </w:r>
      <w:br/>
      <w:r>
        <w:rPr>
          <w:rStyle w:val="VerbatimChar"/>
        </w:rPr>
        <w:t xml:space="preserve">Hours: 3 lecture</w:t>
      </w:r>
      <w:br/>
      <w:r>
        <w:rPr>
          <w:rStyle w:val="VerbatimChar"/>
        </w:rPr>
        <w:t xml:space="preserve">Prerequisites: ENG 101 or divisional permission</w:t>
      </w:r>
      <w:br/>
      <w:r>
        <w:rPr>
          <w:rStyle w:val="VerbatimChar"/>
        </w:rPr>
        <w:t xml:space="preserve">Co-requisities: None</w:t>
      </w:r>
    </w:p>
    <w:bookmarkStart w:id="catalog-description" w:name="catalog-description"/>
    <w:p>
      <w:pPr>
        <w:pStyle w:val="Heading3"/>
      </w:pPr>
      <w:r>
        <w:t xml:space="preserve">Catalog description:</w:t>
      </w:r>
    </w:p>
    <w:bookmarkEnd w:id="catalog-description"/>
    <w:p>
      <w:r>
        <w:t xml:space="preserve">Exploration of trends and topics in contemporary art from 1945 to the present, involving a diverse range of artists who challenge preconceived notions of the role of art in today’s society. Students learn to identify, analyze, and write about art through multi-media presentations, discussions, artists’ talks, and a field trip.</w:t>
      </w:r>
    </w:p>
    <w:bookmarkStart w:id="required-textsother-materials" w:name="required-textsother-materials"/>
    <w:p>
      <w:pPr>
        <w:pStyle w:val="Heading3"/>
      </w:pPr>
      <w:r>
        <w:t xml:space="preserve">Required texts/other materials:</w:t>
      </w:r>
    </w:p>
    <w:bookmarkEnd w:id="required-textsother-materials"/>
    <w:p>
      <w:pPr>
        <w:numPr>
          <w:numId w:val="2"/>
          <w:ilvl w:val="0"/>
        </w:numPr>
      </w:pPr>
      <w:r>
        <w:rPr>
          <w:i/>
        </w:rPr>
        <w:t xml:space="preserve">Twentieth- Century American Art</w:t>
      </w:r>
      <w:r>
        <w:t xml:space="preserve">, Erika Doss, Oxford History of Art</w:t>
      </w:r>
    </w:p>
    <w:bookmarkStart w:id="last-revised-2012" w:name="last-revised-2012"/>
    <w:p>
      <w:pPr>
        <w:pStyle w:val="Heading3"/>
      </w:pPr>
      <w:r>
        <w:t xml:space="preserve">Last Revised 2012</w:t>
      </w:r>
    </w:p>
    <w:bookmarkEnd w:id="last-revised-2012"/>
    <w:bookmarkStart w:id="course-coordinator" w:name="course-coordinator"/>
    <w:p>
      <w:pPr>
        <w:pStyle w:val="Heading3"/>
      </w:pPr>
      <w:r>
        <w:t xml:space="preserve">Course Coordinator</w:t>
      </w:r>
    </w:p>
    <w:bookmarkEnd w:id="course-coordinator"/>
    <w:p>
      <w:pPr>
        <w:pStyle w:val="SourceCode"/>
      </w:pPr>
      <w:r>
        <w:rPr>
          <w:rStyle w:val="VerbatimChar"/>
        </w:rPr>
        <w:t xml:space="preserve">Michael Welliver Ext. 3522</w:t>
      </w:r>
      <w:br/>
      <w:r>
        <w:rPr>
          <w:rStyle w:val="VerbatimChar"/>
        </w:rPr>
        <w:t xml:space="preserve">wellivem@mccc.edu</w:t>
      </w:r>
    </w:p>
    <w:bookmarkStart w:id="information-resources" w:name="information-resources"/>
    <w:p>
      <w:pPr>
        <w:pStyle w:val="Heading3"/>
      </w:pPr>
      <w:r>
        <w:t xml:space="preserve">Information Resources</w:t>
      </w:r>
    </w:p>
    <w:bookmarkEnd w:id="information-resources"/>
    <w:p>
      <w:pPr>
        <w:numPr>
          <w:numId w:val="3"/>
          <w:ilvl w:val="0"/>
        </w:numPr>
      </w:pPr>
      <w:r>
        <w:rPr>
          <w:i/>
        </w:rPr>
        <w:t xml:space="preserve">Art 21</w:t>
      </w:r>
      <w:r>
        <w:t xml:space="preserve">, Season I, II, and III, DVDs,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American Visions</w:t>
      </w:r>
      <w:r>
        <w:t xml:space="preserve">, VHS 5 tape set,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Twentieth Century American Art</w:t>
      </w:r>
      <w:r>
        <w:t xml:space="preserve">, Erika Doss, Oxford History of Art</w:t>
      </w:r>
    </w:p>
    <w:p>
      <w:pPr>
        <w:numPr>
          <w:numId w:val="3"/>
          <w:ilvl w:val="0"/>
        </w:numPr>
      </w:pPr>
      <w:r>
        <w:rPr>
          <w:i/>
        </w:rPr>
        <w:t xml:space="preserve">The Humanistic Tradition</w:t>
      </w:r>
      <w:r>
        <w:t xml:space="preserve">: Volume 6: Modernism, Globalism, and the Information, Age, Gloria K Fiero, McGraw-Hill</w:t>
      </w:r>
    </w:p>
    <w:p>
      <w:pPr>
        <w:numPr>
          <w:numId w:val="3"/>
          <w:ilvl w:val="0"/>
        </w:numPr>
      </w:pPr>
      <w:r>
        <w:rPr>
          <w:i/>
        </w:rPr>
        <w:t xml:space="preserve">Ways of Seeing</w:t>
      </w:r>
      <w:r>
        <w:t xml:space="preserve">, John Berger</w:t>
      </w:r>
    </w:p>
    <w:p>
      <w:pPr>
        <w:numPr>
          <w:numId w:val="3"/>
          <w:ilvl w:val="0"/>
        </w:numPr>
      </w:pPr>
      <w:r>
        <w:rPr>
          <w:i/>
        </w:rPr>
        <w:t xml:space="preserve">Beyond the Brillo Box</w:t>
      </w:r>
      <w:r>
        <w:t xml:space="preserve">, Arthur Danto</w:t>
      </w:r>
    </w:p>
    <w:p>
      <w:pPr>
        <w:numPr>
          <w:numId w:val="3"/>
          <w:ilvl w:val="0"/>
        </w:numPr>
      </w:pPr>
      <w:r>
        <w:rPr>
          <w:i/>
        </w:rPr>
        <w:t xml:space="preserve">Interpreting Art</w:t>
      </w:r>
      <w:r>
        <w:t xml:space="preserve">, Terry Barrett</w:t>
      </w:r>
    </w:p>
    <w:p>
      <w:pPr>
        <w:numPr>
          <w:numId w:val="3"/>
          <w:ilvl w:val="0"/>
        </w:numPr>
      </w:pPr>
      <w:r>
        <w:t xml:space="preserve">Various periodicals including:</w:t>
      </w:r>
      <w:r>
        <w:t xml:space="preserve"> </w:t>
      </w:r>
      <w:r>
        <w:rPr>
          <w:i/>
        </w:rPr>
        <w:t xml:space="preserve">Artforum</w:t>
      </w:r>
      <w:r>
        <w:t xml:space="preserve">,</w:t>
      </w:r>
      <w:r>
        <w:t xml:space="preserve"> </w:t>
      </w:r>
      <w:r>
        <w:rPr>
          <w:i/>
        </w:rPr>
        <w:t xml:space="preserve">Art in America</w:t>
      </w:r>
      <w:r>
        <w:t xml:space="preserve">,</w:t>
      </w:r>
      <w:r>
        <w:t xml:space="preserve"> </w:t>
      </w:r>
      <w:r>
        <w:rPr>
          <w:i/>
        </w:rPr>
        <w:t xml:space="preserve">Bomb</w:t>
      </w:r>
      <w:r>
        <w:t xml:space="preserve">, and</w:t>
      </w:r>
      <w:r>
        <w:t xml:space="preserve"> </w:t>
      </w:r>
      <w:r>
        <w:rPr>
          <w:i/>
        </w:rPr>
        <w:t xml:space="preserve">Flash Art</w:t>
      </w:r>
    </w:p>
    <w:p>
      <w:pPr>
        <w:numPr>
          <w:numId w:val="3"/>
          <w:ilvl w:val="0"/>
        </w:numPr>
      </w:pPr>
      <w:r>
        <w:t xml:space="preserve">Various internet sites including</w:t>
      </w:r>
      <w:r>
        <w:t xml:space="preserve"> </w:t>
      </w:r>
      <w:hyperlink r:id="link0">
        <w:r>
          <w:rPr>
            <w:rStyle w:val="Hyperlink"/>
          </w:rPr>
          <w:t xml:space="preserve">A sky filled with Shooting Stars</w:t>
        </w:r>
      </w:hyperlink>
      <w:r>
        <w:t xml:space="preserve">,</w:t>
      </w:r>
      <w:hyperlink r:id="link1">
        <w:r>
          <w:rPr>
            <w:rStyle w:val="Hyperlink"/>
          </w:rPr>
          <w:t xml:space="preserve">Who Killed Bambi?</w:t>
        </w:r>
      </w:hyperlink>
    </w:p>
    <w:bookmarkStart w:id="course-competencies-goals" w:name="course-competencies-goals"/>
    <w:p>
      <w:pPr>
        <w:pStyle w:val="Heading3"/>
      </w:pPr>
      <w:r>
        <w:t xml:space="preserve">Course Competencies / Goals:</w:t>
      </w:r>
    </w:p>
    <w:bookmarkEnd w:id="course-competencies-goals"/>
    <w:p>
      <w:r>
        <w:t xml:space="preserve">The student will be able to:</w:t>
      </w:r>
    </w:p>
    <w:p>
      <w:r>
        <w:t xml:space="preserve">1 Identify and analyze artists, trends and movements of the 20th century (from 1945to the present).</w:t>
      </w:r>
    </w:p>
    <w:p>
      <w:r>
        <w:t xml:space="preserve">2 Contextualize the art of today within the societies that create it, including cultural and technological influences.</w:t>
      </w:r>
    </w:p>
    <w:p>
      <w:r>
        <w:t xml:space="preserve">3 Argue the value of a given artwork and interpret it's meaning in group discussions.</w:t>
      </w:r>
    </w:p>
    <w:p>
      <w:r>
        <w:t xml:space="preserve">4 Research and appraise artwork through written and oral presentations and develop a personal voice as an interpreter.</w:t>
      </w:r>
    </w:p>
    <w:p>
      <w:r>
        <w:t xml:space="preserve">5 Question the complex motivations behind art being made today, including personal, political, and economic incentives.</w:t>
      </w:r>
    </w:p>
    <w:p>
      <w:r>
        <w:t xml:space="preserve">6 Visit an art gallery or museum, and differentiate between viewing reproductions and original artwork. Write about the experience.</w:t>
      </w:r>
    </w:p>
    <w:bookmarkStart w:id="general-education-knowledge-goals" w:name="general-education-knowledge-goals"/>
    <w:p>
      <w:pPr>
        <w:pStyle w:val="Heading3"/>
      </w:pPr>
      <w:r>
        <w:t xml:space="preserve">General Education Knowledge Goals</w:t>
      </w:r>
    </w:p>
    <w:bookmarkEnd w:id="general-education-knowledge-goals"/>
    <w:p>
      <w:r>
        <w:t xml:space="preserve">Goal 1. Communication. Students will communicate effectively in both speech and writing.</w:t>
      </w:r>
    </w:p>
    <w:p>
      <w:r>
        <w:t xml:space="preserve">Goal 4. Technology. Students will use computer systems or other appropriate forms of technology to achieve educational and personal goals.</w:t>
      </w:r>
    </w:p>
    <w:p>
      <w:r>
        <w:t xml:space="preserve">Goal. 6. Humanities. Students will analyze works in the fields of art, music, or theater; literature; philosophy and/or religious studies; and/or will gain competence in the use of a foreign language.</w:t>
      </w:r>
    </w:p>
    <w:p>
      <w:r>
        <w:t xml:space="preserve">Goal 7. History. Students will understand historical events and movements in World, Western, non-Western or American societies and assess their subsequent significance. Goal 8. Diversity. Students will understand the importance of a global perspective and culturally diverse peoples.</w:t>
      </w:r>
    </w:p>
    <w:p>
      <w:r>
        <w:t xml:space="preserve">Goal 9. Ethical Reasoning and Action. Students will understand ethical issues and situations.</w:t>
      </w:r>
    </w:p>
    <w:bookmarkStart w:id="mccc-core-skills" w:name="mccc-core-skills"/>
    <w:p>
      <w:pPr>
        <w:pStyle w:val="Heading3"/>
      </w:pPr>
      <w:r>
        <w:t xml:space="preserve">MCCC Core Skills</w:t>
      </w:r>
    </w:p>
    <w:bookmarkEnd w:id="mccc-core-skills"/>
    <w:p>
      <w:r>
        <w:t xml:space="preserve">Goal A. Written and Oral Communication in English. Students will communicate effectively in speech and writing, and demonstrate proficiency in reading.</w:t>
      </w:r>
    </w:p>
    <w:p>
      <w:r>
        <w:t xml:space="preserve">Goal B. Critical Thinking and Problem-solving. Students will use critical thinking and problem solving skills in analyzing information.</w:t>
      </w:r>
    </w:p>
    <w:p>
      <w:r>
        <w:t xml:space="preserve">Goal C. Ethical Decision-Making. Students will recognize, analyze and assess ethical issues and situations.</w:t>
      </w:r>
    </w:p>
    <w:p>
      <w:r>
        <w:t xml:space="preserve">Goal D. Information Literacy. Students will recognize when information is needed and have the knowledge and skills to locate, evaluate, and effectively use information for college level work.</w:t>
      </w:r>
    </w:p>
    <w:p>
      <w:r>
        <w:t xml:space="preserve">Goal E. Computer Literacy. Students will use computers to access, analyze or present information, solve problems, and communicate with others.</w:t>
      </w:r>
    </w:p>
    <w:p>
      <w:r>
        <w:t xml:space="preserve">Goal F. Collaboration and Cooperation. Students will develop the interpersonal skills required for effective performance in group situations.</w:t>
      </w:r>
    </w:p>
    <w:p>
      <w:r>
        <w:t xml:space="preserve">Goal G. Intra-Cultural and Inter-Cultural Responsibility. Students will demonstrate an awareness of the responsibilities of intelligent citizenship in a diverse and pluralistic society, and will demonstrate cultural, global, and environmental awareness.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askyfilledwithshootingstars.com/wordpress/" TargetMode="External" /><Relationship Type="http://schemas.openxmlformats.org/officeDocument/2006/relationships/hyperlink" Id="link1" Target="http://www.whokilledbambi.co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