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the-subtitle" w:name="the-subtitle"/>
    <w:p>
      <w:pPr>
        <w:pStyle w:val="Heading3"/>
      </w:pPr>
      <w:r>
        <w:t xml:space="preserve">The Subtitle</w:t>
      </w:r>
    </w:p>
    <w:bookmarkEnd w:id="the-subtitle"/>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bookmarkStart w:id="class-1-introduction" w:name="class-1-introduction"/>
    <w:p>
      <w:pPr>
        <w:pStyle w:val="Heading3"/>
      </w:pPr>
      <w:r>
        <w:t xml:space="preserve">Class 1: Introduction</w:t>
      </w:r>
    </w:p>
    <w:bookmarkEnd w:id="class-1-introduction"/>
    <w:p>
      <w:r>
        <w:t xml:space="preserve">Venus figurine from Hohle Fels, 30,000 bce</w:t>
      </w:r>
    </w:p>
    <w:p>
      <w:pPr>
        <w:pStyle w:val="ImageCaption"/>
      </w:pPr>
      <w:r>
        <w:t xml:space="preserve">Venus figurine from Hohle Fels, 30,000 bce</w:t>
      </w:r>
    </w:p>
    <w:p>
      <w:r>
        <w:t xml:space="preserve">Our course starts in New York in the 1940s, but 35,000 years of recorded art history exist before this point. Before we touch down with both feet running, what should we be aware of, what lessons from the past can we take with us?</w:t>
      </w:r>
    </w:p>
    <w:p>
      <w:r>
        <w:t xml:space="preserve">In this introductory class, we first look at a very few select pieces of work, from as old as the</w:t>
      </w:r>
      <w:r>
        <w:t xml:space="preserve"> </w:t>
      </w:r>
      <w:r>
        <w:rPr>
          <w:b/>
        </w:rPr>
        <w:t xml:space="preserve">Venus figurine from Hohle Fels</w:t>
      </w:r>
      <w:r>
        <w:t xml:space="preserve">, made of Mammoth Ivory, up to a couple American works from 1950. Stretching them into a timeline, we discuss the spectrum from realism to abstraction, and discover realism encompasses a relatively small part of the history of art.</w:t>
      </w:r>
    </w:p>
    <w:p>
      <w:r>
        <w:t xml:space="preserve">We examine what factors cause artists to return to abstraction in the 1800s, and how this trend continues up to the Abstract Expressionists. We also look at the differences between Formalism and Expressionism, asking what reasons artists would have to paint ugly or disturbing images. Next week, we will pick after the World Wars, and see what happened when New York became the center of the art world.</w:t>
      </w:r>
    </w:p>
    <w:bookmarkStart w:id="readings-ulo-3-4" w:name="readings-ulo-3-4"/>
    <w:p>
      <w:pPr>
        <w:pStyle w:val="Heading3"/>
      </w:pPr>
      <w:r>
        <w:rPr>
          <w:b/>
        </w:rPr>
        <w:t xml:space="preserve">Readings</w:t>
      </w:r>
      <w:r>
        <w:t xml:space="preserve">: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1">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2">
        <w:r>
          <w:rPr>
            <w:rStyle w:val="Hyperlink"/>
          </w:rPr>
          <w:t xml:space="preserve">Unit 1-1: Abstraction</w:t>
        </w:r>
      </w:hyperlink>
    </w:p>
    <w:p>
      <w:pPr>
        <w:numPr>
          <w:numId w:val="4"/>
          <w:ilvl w:val="0"/>
        </w:numPr>
      </w:pPr>
      <w:hyperlink r:id="link3">
        <w:r>
          <w:rPr>
            <w:rStyle w:val="Hyperlink"/>
          </w:rPr>
          <w:t xml:space="preserve">Unit 1-2: QuantifyAbstraction</w:t>
        </w:r>
      </w:hyperlink>
    </w:p>
    <w:p>
      <w:pPr>
        <w:numPr>
          <w:numId w:val="4"/>
          <w:ilvl w:val="0"/>
        </w:numPr>
      </w:pPr>
      <w:hyperlink r:id="link4">
        <w:r>
          <w:rPr>
            <w:rStyle w:val="Hyperlink"/>
          </w:rPr>
          <w:t xml:space="preserve">Unit 1-3: ReturnToAbstraction</w:t>
        </w:r>
      </w:hyperlink>
    </w:p>
    <w:p>
      <w:pPr>
        <w:numPr>
          <w:numId w:val="4"/>
          <w:ilvl w:val="0"/>
        </w:numPr>
      </w:pPr>
      <w:hyperlink r:id="link5">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w:t>
      </w:r>
      <w:r>
        <w:t xml:space="preserve"> </w:t>
      </w:r>
      <w:r>
        <w:rPr>
          <w:i/>
        </w:rPr>
        <w:t xml:space="preserve">existence precedes essence</w:t>
      </w:r>
      <w:r>
        <w:t xml:space="preserv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w:t>
      </w:r>
      <w:r>
        <w:t xml:space="preserve"> </w:t>
      </w:r>
      <w:r>
        <w:rPr>
          <w:i/>
        </w:rPr>
        <w:t xml:space="preserve">abandomnemt</w:t>
      </w:r>
      <w:r>
        <w:t xml:space="preserve">?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w:t>
      </w:r>
      <w:r>
        <w:t xml:space="preserve"> </w:t>
      </w:r>
      <w:r>
        <w:rPr>
          <w:i/>
        </w:rPr>
        <w:t xml:space="preserve">condemned to be free</w:t>
      </w:r>
      <w:r>
        <w:t xml:space="preserv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w:t>
      </w:r>
      <w:r>
        <w:t xml:space="preserve"> </w:t>
      </w:r>
      <w:r>
        <w:rPr>
          <w:i/>
        </w:rPr>
        <w:t xml:space="preserve">figurative abstraction</w:t>
      </w:r>
      <w:r>
        <w:t xml:space="preserve"> </w:t>
      </w:r>
      <w:r>
        <w:t xml:space="preserve">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w:t>
      </w:r>
      <w:r>
        <w:t xml:space="preserve"> </w:t>
      </w:r>
      <w:r>
        <w:rPr>
          <w:i/>
        </w:rPr>
        <w:t xml:space="preserve">representational abstraction</w:t>
      </w:r>
      <w:r>
        <w:t xml:space="preserve"> </w:t>
      </w:r>
      <w:r>
        <w:t xml:space="preserve">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w:t>
      </w:r>
      <w:r>
        <w:t xml:space="preserve"> </w:t>
      </w:r>
      <w:r>
        <w:rPr>
          <w:i/>
        </w:rPr>
        <w:t xml:space="preserve">non-representational abstraction</w:t>
      </w:r>
      <w:r>
        <w:t xml:space="preserve"> </w:t>
      </w:r>
      <w:r>
        <w:t xml:space="preserve">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w:t>
      </w:r>
      <w:r>
        <w:t xml:space="preserve"> </w:t>
      </w:r>
      <w:r>
        <w:rPr>
          <w:i/>
        </w:rPr>
        <w:t xml:space="preserve">expressionism</w:t>
      </w:r>
      <w:r>
        <w:t xml:space="preserve"> </w:t>
      </w:r>
      <w:r>
        <w:t xml:space="preserve">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w:t>
      </w:r>
      <w:r>
        <w:t xml:space="preserve"> </w:t>
      </w:r>
      <w:r>
        <w:rPr>
          <w:i/>
        </w:rPr>
        <w:t xml:space="preserve">formalism</w:t>
      </w:r>
      <w:r>
        <w:t xml:space="preserve"> </w:t>
      </w:r>
      <w:r>
        <w:t xml:space="preserve">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w:t>
      </w:r>
      <w:r>
        <w:t xml:space="preserve"> </w:t>
      </w:r>
      <w:r>
        <w:rPr>
          <w:i/>
        </w:rPr>
        <w:t xml:space="preserve">color field painting</w:t>
      </w:r>
      <w:r>
        <w:t xml:space="preserve"> </w:t>
      </w:r>
      <w:r>
        <w:t xml:space="preserve">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4"/>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5"/>
      </w:pPr>
      <w:r>
        <w:t xml:space="preserve">Essay Question:</w:t>
      </w:r>
    </w:p>
    <w:bookmarkEnd w:id="essay-question"/>
    <w:p>
      <w:r>
        <w:t xml:space="preserve">Sartre talk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bookmarkStart w:id="voice-thread-question" w:name="voice-thread-question"/>
    <w:p>
      <w:pPr>
        <w:pStyle w:val="Heading4"/>
      </w:pPr>
      <w:r>
        <w:t xml:space="preserve">Voice Thread Question</w:t>
      </w:r>
    </w:p>
    <w:bookmarkEnd w:id="voice-thread-question"/>
    <w:p>
      <w:r>
        <w:t xml:space="preserve">This is our chance to get familiar with the voice thread technology. We have two pictures to look at here, one that is formalist, and one that is expressionist. I want you to leave a voice thread on each one where you point out one thing that you find engaging about the picture.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6">
        <w:r>
          <w:rPr>
            <w:rStyle w:val="Hyperlink"/>
          </w:rPr>
          <w:t xml:space="preserve">The Venus of Hohle Fels:</w:t>
        </w:r>
      </w:hyperlink>
    </w:p>
    <w:p>
      <w:pPr>
        <w:numPr>
          <w:numId w:val="5"/>
          <w:ilvl w:val="0"/>
        </w:numPr>
      </w:pPr>
      <w:r>
        <w:t xml:space="preserve">Sartre's</w:t>
      </w:r>
      <w:r>
        <w:t xml:space="preserve"> </w:t>
      </w:r>
      <w:hyperlink r:id="link0">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7">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http://www.marxists.org/reference/archive/sartre/" TargetMode="External" /><Relationship Type="http://schemas.openxmlformats.org/officeDocument/2006/relationships/hyperlink" Id="link2" Target="http://jonathangabel.com/documents/art125/ppt/Art125Unit01-01.Abstraction.pptx" TargetMode="External" /><Relationship Type="http://schemas.openxmlformats.org/officeDocument/2006/relationships/hyperlink" Id="link3" Target="http://jonathangabel.com/documents/art125/ppt/Art125Unit01-02.QuantifyAbstraction.pptx" TargetMode="External" /><Relationship Type="http://schemas.openxmlformats.org/officeDocument/2006/relationships/hyperlink" Id="link4" Target="http://jonathangabel.com/documents/art125/ppt/Art125Unit01-03.ReturnToAbstraction.pptx" TargetMode="External" /><Relationship Type="http://schemas.openxmlformats.org/officeDocument/2006/relationships/hyperlink" Id="link5" Target="http://jonathangabel.com/documents/art125/ppt/Art125Unit01-04.Expressionism.pptx" TargetMode="External" /><Relationship Type="http://schemas.openxmlformats.org/officeDocument/2006/relationships/hyperlink" Id="link7" Target="http://www.albersfoundation.org/" TargetMode="External" /><Relationship Type="http://schemas.openxmlformats.org/officeDocument/2006/relationships/hyperlink" Id="link6" Target="http://www.huffingtonpost.com/2009/05/14/venus-of-hohle-fels-prehi_n_203418.html" TargetMode="External" /><Relationship Type="http://schemas.openxmlformats.org/officeDocument/2006/relationships/hyperlink" Id="link0"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