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2628900" cy="3810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2628900" cy="3810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5867400" cy="3810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5867400" cy="3810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r>
        <w:t xml:space="preserve">Pollock:</w:t>
      </w:r>
      <w:r>
        <w:t xml:space="preserve"> </w:t>
      </w:r>
    </w:p>
    <w:p>
      <w:r>
        <w:t xml:space="preserve">Gesture:</w:t>
      </w:r>
      <w:r>
        <w:t xml:space="preserve"> </w:t>
      </w:r>
    </w:p>
    <w:p>
      <w:pPr>
        <w:numPr>
          <w:numId w:val="8"/>
          <w:ilvl w:val="0"/>
        </w:numPr>
      </w:pPr>
      <w:r>
        <w:t xml:space="preserve">Color Field and Second Generation:</w:t>
      </w:r>
    </w:p>
    <w:p>
      <w:pPr>
        <w:numPr>
          <w:numId w:val="9"/>
          <w:ilvl w:val="1"/>
        </w:numPr>
      </w:pPr>
      <w:r>
        <w:t xml:space="preserve">Marc Rothko</w:t>
      </w:r>
    </w:p>
    <w:p>
      <w:pPr>
        <w:numPr>
          <w:numId w:val="9"/>
          <w:ilvl w:val="1"/>
        </w:numPr>
      </w:pPr>
      <w:r>
        <w:t xml:space="preserve">Helen Frankenthaler</w:t>
      </w:r>
    </w:p>
    <w:p>
      <w:pPr>
        <w:numPr>
          <w:numId w:val="9"/>
          <w:ilvl w:val="1"/>
        </w:numPr>
      </w:pPr>
      <w:r>
        <w:t xml:space="preserve">Morris Louis</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0"/>
          <w:ilvl w:val="0"/>
        </w:numPr>
      </w:pPr>
      <w:r>
        <w:t xml:space="preserve">Franz Kline</w:t>
      </w:r>
    </w:p>
    <w:p>
      <w:pPr>
        <w:numPr>
          <w:numId w:val="10"/>
          <w:ilvl w:val="0"/>
        </w:numPr>
      </w:pPr>
      <w:r>
        <w:t xml:space="preserve">Lee Krasner</w:t>
      </w:r>
    </w:p>
    <w:p>
      <w:pPr>
        <w:numPr>
          <w:numId w:val="10"/>
          <w:ilvl w:val="0"/>
        </w:numPr>
      </w:pPr>
      <w:r>
        <w:t xml:space="preserve">Norman Louis</w:t>
      </w:r>
    </w:p>
    <w:p>
      <w:pPr>
        <w:numPr>
          <w:numId w:val="10"/>
          <w:ilvl w:val="0"/>
        </w:numPr>
      </w:pPr>
      <w:r>
        <w:t xml:space="preserve">Robert Motherwell</w:t>
      </w:r>
    </w:p>
    <w:p>
      <w:pPr>
        <w:numPr>
          <w:numId w:val="10"/>
          <w:ilvl w:val="0"/>
        </w:numPr>
      </w:pPr>
      <w:r>
        <w:t xml:space="preserve">Mark Tobey</w:t>
      </w:r>
    </w:p>
    <w:p>
      <w:pPr>
        <w:numPr>
          <w:numId w:val="10"/>
          <w:ilvl w:val="0"/>
        </w:numPr>
      </w:pPr>
      <w:r>
        <w:t xml:space="preserve">Clifford Still</w:t>
      </w:r>
    </w:p>
    <w:p>
      <w:pPr>
        <w:numPr>
          <w:numId w:val="10"/>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1"/>
          <w:ilvl w:val="0"/>
        </w:numPr>
      </w:pPr>
      <w:hyperlink r:id="link1">
        <w:r>
          <w:rPr>
            <w:rStyle w:val="Hyperlink"/>
          </w:rPr>
          <w:t xml:space="preserve">MOMA's "Abstract Expressionist New York" show</w:t>
        </w:r>
      </w:hyperlink>
      <w:r>
        <w:t xml:space="preserve">, with tons of on-line interactive features</w:t>
      </w:r>
    </w:p>
    <w:p>
      <w:pPr>
        <w:numPr>
          <w:numId w:val="11"/>
          <w:ilvl w:val="0"/>
        </w:numPr>
      </w:pPr>
      <w:hyperlink r:id="link2">
        <w:r>
          <w:rPr>
            <w:rStyle w:val="Hyperlink"/>
          </w:rPr>
          <w:t xml:space="preserve">Review of the MoMA show</w:t>
        </w:r>
      </w:hyperlink>
      <w:r>
        <w:t xml:space="preserve">, and additional information on the Ab-Exers</w:t>
      </w:r>
    </w:p>
    <w:p>
      <w:pPr>
        <w:numPr>
          <w:numId w:val="11"/>
          <w:ilvl w:val="0"/>
        </w:numPr>
      </w:pPr>
      <w:hyperlink r:id="link3">
        <w:r>
          <w:rPr>
            <w:rStyle w:val="Hyperlink"/>
          </w:rPr>
          <w:t xml:space="preserve">Ad Reinhardt's 12 rules</w:t>
        </w:r>
      </w:hyperlink>
      <w:r>
        <w:t xml:space="preserve">, posted on a webpage that breaks almost all of them!</w:t>
      </w:r>
    </w:p>
    <w:p>
      <w:pPr>
        <w:numPr>
          <w:numId w:val="11"/>
          <w:ilvl w:val="0"/>
        </w:numPr>
      </w:pPr>
      <w:hyperlink r:id="link4">
        <w:r>
          <w:rPr>
            <w:rStyle w:val="Hyperlink"/>
          </w:rPr>
          <w:t xml:space="preserve">Gestalt Principals explained</w:t>
        </w:r>
      </w:hyperlink>
      <w:r>
        <w:t xml:space="preserve">, with graphic examples</w:t>
      </w:r>
      <w:br/>
    </w:p>
    <w:p>
      <w:pPr>
        <w:numPr>
          <w:numId w:val="11"/>
          <w:ilvl w:val="0"/>
        </w:numPr>
      </w:pPr>
      <w:hyperlink r:id="link5">
        <w:r>
          <w:rPr>
            <w:rStyle w:val="Hyperlink"/>
          </w:rPr>
          <w:t xml:space="preserve">Gestalt Principals explained</w:t>
        </w:r>
      </w:hyperlink>
      <w:r>
        <w:t xml:space="preserve">, with fine art examples</w:t>
      </w:r>
    </w:p>
    <w:p>
      <w:pPr>
        <w:numPr>
          <w:numId w:val="11"/>
          <w:ilvl w:val="0"/>
        </w:numPr>
      </w:pPr>
      <w:hyperlink r:id="link6">
        <w:r>
          <w:rPr>
            <w:rStyle w:val="Hyperlink"/>
          </w:rPr>
          <w:t xml:space="preserve">Basic pricipals of color theory</w:t>
        </w:r>
      </w:hyperlink>
      <w:r>
        <w:t xml:space="preserve"> </w:t>
      </w:r>
      <w:r>
        <w:t xml:space="preserve">explained</w:t>
      </w:r>
      <w:br/>
    </w:p>
    <w:p>
      <w:pPr>
        <w:numPr>
          <w:numId w:val="11"/>
          <w:ilvl w:val="0"/>
        </w:numPr>
      </w:pPr>
      <w:hyperlink r:id="link7">
        <w:r>
          <w:rPr>
            <w:rStyle w:val="Hyperlink"/>
          </w:rPr>
          <w:t xml:space="preserve">Arshile Gorky Foundation</w:t>
        </w:r>
      </w:hyperlink>
      <w:br/>
    </w:p>
    <w:p>
      <w:pPr>
        <w:numPr>
          <w:numId w:val="11"/>
          <w:ilvl w:val="0"/>
        </w:numPr>
      </w:pPr>
      <w:hyperlink r:id="link8">
        <w:r>
          <w:rPr>
            <w:rStyle w:val="Hyperlink"/>
          </w:rPr>
          <w:t xml:space="preserve">Hans Hofmann Trust</w:t>
        </w:r>
      </w:hyperlink>
      <w:br/>
    </w:p>
    <w:p>
      <w:pPr>
        <w:numPr>
          <w:numId w:val="11"/>
          <w:ilvl w:val="0"/>
        </w:numPr>
      </w:pPr>
      <w:r>
        <w:t xml:space="preserve">Pollock and Krasner</w:t>
      </w:r>
      <w:r>
        <w:t xml:space="preserve"> </w:t>
      </w:r>
      <w:hyperlink r:id="link9">
        <w:r>
          <w:rPr>
            <w:rStyle w:val="Hyperlink"/>
          </w:rPr>
          <w:t xml:space="preserve">House and Study Center</w:t>
        </w:r>
      </w:hyperlink>
      <w:br/>
    </w:p>
    <w:p>
      <w:pPr>
        <w:numPr>
          <w:numId w:val="11"/>
          <w:ilvl w:val="0"/>
        </w:numPr>
      </w:pPr>
      <w:r>
        <w:t xml:space="preserve">Robert Motherwell,</w:t>
      </w:r>
      <w:r>
        <w:t xml:space="preserve"> </w:t>
      </w:r>
      <w:hyperlink r:id="link10">
        <w:r>
          <w:rPr>
            <w:rStyle w:val="Hyperlink"/>
          </w:rPr>
          <w:t xml:space="preserve">the Dedalus Foundation</w:t>
        </w:r>
      </w:hyperlink>
      <w:br/>
    </w:p>
    <w:p>
      <w:pPr>
        <w:numPr>
          <w:numId w:val="11"/>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1"/>
          <w:ilvl w:val="0"/>
        </w:numPr>
      </w:pPr>
      <w:r>
        <w:t xml:space="preserve">Mark Rothko at the</w:t>
      </w:r>
      <w:r>
        <w:t xml:space="preserve"> </w:t>
      </w:r>
      <w:hyperlink r:id="link12">
        <w:r>
          <w:rPr>
            <w:rStyle w:val="Hyperlink"/>
          </w:rPr>
          <w:t xml:space="preserve">National Gallery of Art</w:t>
        </w:r>
      </w:hyperlink>
      <w:br/>
    </w:p>
    <w:p>
      <w:pPr>
        <w:numPr>
          <w:numId w:val="11"/>
          <w:ilvl w:val="0"/>
        </w:numPr>
      </w:pPr>
      <w:hyperlink r:id="link13">
        <w:r>
          <w:rPr>
            <w:rStyle w:val="Hyperlink"/>
          </w:rPr>
          <w:t xml:space="preserve">The Clyfford Still Museum</w:t>
        </w:r>
      </w:hyperlink>
      <w:r>
        <w:t xml:space="preserve"> </w:t>
      </w:r>
      <w:r>
        <w:rPr>
          <w:i/>
        </w:rPr>
        <w:t xml:space="preserve">under construction in Denver</w:t>
      </w:r>
    </w:p>
    <w:p>
      <w:pPr>
        <w:numPr>
          <w:numId w:val="11"/>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