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t xml:space="preserve">George Grosz, "The Hero", 1936</w:t>
      </w:r>
    </w:p>
    <w:p>
      <w:pPr>
        <w:pStyle w:val="ImageCaption"/>
      </w:pPr>
      <w:r>
        <w:t xml:space="preserve">George Grosz, "The Hero", 1936</w:t>
      </w:r>
    </w:p>
    <w:p>
      <w:r>
        <w:t xml:space="preserve">Thomas Hart Benton, "The Year of Peril, Embarkation"</w:t>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hyperlink r:id="link1">
        <w:r>
          <w:rPr>
            <w:rStyle w:val="Hyperlink"/>
          </w:rPr>
          <w:t xml:space="preserve">Unit 2-1: EuropeanInfluence</w:t>
        </w:r>
      </w:hyperlink>
    </w:p>
    <w:p>
      <w:pPr>
        <w:numPr>
          <w:numId w:val="5"/>
          <w:ilvl w:val="0"/>
        </w:numPr>
      </w:pPr>
      <w:hyperlink r:id="link2">
        <w:r>
          <w:rPr>
            <w:rStyle w:val="Hyperlink"/>
          </w:rPr>
          <w:t xml:space="preserve">Unit 2-2: LineAndGesture</w:t>
        </w:r>
      </w:hyperlink>
    </w:p>
    <w:p>
      <w:pPr>
        <w:numPr>
          <w:numId w:val="5"/>
          <w:ilvl w:val="0"/>
        </w:numPr>
      </w:pPr>
      <w:hyperlink r:id="link3">
        <w:r>
          <w:rPr>
            <w:rStyle w:val="Hyperlink"/>
          </w:rPr>
          <w:t xml:space="preserve">Unit 2-3: ColorField</w:t>
        </w:r>
      </w:hyperlink>
    </w:p>
    <w:p>
      <w:r>
        <w:t xml:space="preserve">Pollock:</w:t>
      </w:r>
      <w:r>
        <w:t xml:space="preserve"> </w:t>
      </w:r>
    </w:p>
    <w:p>
      <w:r>
        <w:t xml:space="preserve">Gesture:</w:t>
      </w:r>
      <w:r>
        <w:t xml:space="preserve"> </w:t>
      </w:r>
    </w:p>
    <w:p>
      <w:r>
        <w:t xml:space="preserve">Ad Reinhardt:</w:t>
      </w:r>
      <w:r>
        <w:t xml:space="preserve"> </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6"/>
          <w:ilvl w:val="0"/>
        </w:numPr>
      </w:pPr>
      <w:r>
        <w:t xml:space="preserve">Franz Kline</w:t>
      </w:r>
    </w:p>
    <w:p>
      <w:pPr>
        <w:numPr>
          <w:numId w:val="6"/>
          <w:ilvl w:val="0"/>
        </w:numPr>
      </w:pPr>
      <w:r>
        <w:t xml:space="preserve">Lee Krasner</w:t>
      </w:r>
    </w:p>
    <w:p>
      <w:pPr>
        <w:numPr>
          <w:numId w:val="6"/>
          <w:ilvl w:val="0"/>
        </w:numPr>
      </w:pPr>
      <w:r>
        <w:t xml:space="preserve">Norman Louis</w:t>
      </w:r>
    </w:p>
    <w:p>
      <w:pPr>
        <w:numPr>
          <w:numId w:val="6"/>
          <w:ilvl w:val="0"/>
        </w:numPr>
      </w:pPr>
      <w:r>
        <w:t xml:space="preserve">Robert Motherwell</w:t>
      </w:r>
    </w:p>
    <w:p>
      <w:pPr>
        <w:numPr>
          <w:numId w:val="6"/>
          <w:ilvl w:val="0"/>
        </w:numPr>
      </w:pPr>
      <w:r>
        <w:t xml:space="preserve">Mark Tobey</w:t>
      </w:r>
    </w:p>
    <w:p>
      <w:pPr>
        <w:numPr>
          <w:numId w:val="6"/>
          <w:ilvl w:val="0"/>
        </w:numPr>
      </w:pPr>
      <w:r>
        <w:t xml:space="preserve">Clifford Still</w:t>
      </w:r>
    </w:p>
    <w:p>
      <w:pPr>
        <w:numPr>
          <w:numId w:val="6"/>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7"/>
          <w:ilvl w:val="0"/>
        </w:numPr>
      </w:pPr>
      <w:hyperlink r:id="link4">
        <w:r>
          <w:rPr>
            <w:rStyle w:val="Hyperlink"/>
          </w:rPr>
          <w:t xml:space="preserve">MOMA's "Abstract Expressionist New York" show</w:t>
        </w:r>
      </w:hyperlink>
      <w:r>
        <w:t xml:space="preserve">, with tons of on-line interactive features</w:t>
      </w:r>
    </w:p>
    <w:p>
      <w:pPr>
        <w:numPr>
          <w:numId w:val="7"/>
          <w:ilvl w:val="0"/>
        </w:numPr>
      </w:pPr>
      <w:hyperlink r:id="link5">
        <w:r>
          <w:rPr>
            <w:rStyle w:val="Hyperlink"/>
          </w:rPr>
          <w:t xml:space="preserve">Review of the MoMA show</w:t>
        </w:r>
      </w:hyperlink>
      <w:r>
        <w:t xml:space="preserve">, and additional information on the Ab-Exers</w:t>
      </w:r>
    </w:p>
    <w:p>
      <w:pPr>
        <w:numPr>
          <w:numId w:val="7"/>
          <w:ilvl w:val="0"/>
        </w:numPr>
      </w:pPr>
      <w:hyperlink r:id="link6">
        <w:r>
          <w:rPr>
            <w:rStyle w:val="Hyperlink"/>
          </w:rPr>
          <w:t xml:space="preserve">Ad Reinhardt's 12 rules</w:t>
        </w:r>
      </w:hyperlink>
      <w:r>
        <w:t xml:space="preserve">, posted on a webpage that breaks almost all of them!</w:t>
      </w:r>
    </w:p>
    <w:p>
      <w:pPr>
        <w:numPr>
          <w:numId w:val="7"/>
          <w:ilvl w:val="0"/>
        </w:numPr>
      </w:pPr>
      <w:hyperlink r:id="link7">
        <w:r>
          <w:rPr>
            <w:rStyle w:val="Hyperlink"/>
          </w:rPr>
          <w:t xml:space="preserve">Gestalt Principals explained</w:t>
        </w:r>
      </w:hyperlink>
      <w:r>
        <w:t xml:space="preserve">, with graphic examples</w:t>
      </w:r>
      <w:br/>
    </w:p>
    <w:p>
      <w:pPr>
        <w:numPr>
          <w:numId w:val="7"/>
          <w:ilvl w:val="0"/>
        </w:numPr>
      </w:pPr>
      <w:hyperlink r:id="link8">
        <w:r>
          <w:rPr>
            <w:rStyle w:val="Hyperlink"/>
          </w:rPr>
          <w:t xml:space="preserve">Gestalt Principals explained</w:t>
        </w:r>
      </w:hyperlink>
      <w:r>
        <w:t xml:space="preserve">, with fine art examples</w:t>
      </w:r>
    </w:p>
    <w:p>
      <w:pPr>
        <w:numPr>
          <w:numId w:val="7"/>
          <w:ilvl w:val="0"/>
        </w:numPr>
      </w:pPr>
      <w:hyperlink r:id="link9">
        <w:r>
          <w:rPr>
            <w:rStyle w:val="Hyperlink"/>
          </w:rPr>
          <w:t xml:space="preserve">Basic pricipals of color theory</w:t>
        </w:r>
      </w:hyperlink>
      <w:r>
        <w:t xml:space="preserve"> </w:t>
      </w:r>
      <w:r>
        <w:t xml:space="preserve">explained</w:t>
      </w:r>
      <w:br/>
    </w:p>
    <w:p>
      <w:pPr>
        <w:numPr>
          <w:numId w:val="7"/>
          <w:ilvl w:val="0"/>
        </w:numPr>
      </w:pPr>
      <w:hyperlink r:id="link10">
        <w:r>
          <w:rPr>
            <w:rStyle w:val="Hyperlink"/>
          </w:rPr>
          <w:t xml:space="preserve">Arshile Gorky Foundation</w:t>
        </w:r>
      </w:hyperlink>
      <w:br/>
    </w:p>
    <w:p>
      <w:pPr>
        <w:numPr>
          <w:numId w:val="7"/>
          <w:ilvl w:val="0"/>
        </w:numPr>
      </w:pPr>
      <w:hyperlink r:id="link11">
        <w:r>
          <w:rPr>
            <w:rStyle w:val="Hyperlink"/>
          </w:rPr>
          <w:t xml:space="preserve">Hans Hofmann Trust</w:t>
        </w:r>
      </w:hyperlink>
      <w:br/>
    </w:p>
    <w:p>
      <w:pPr>
        <w:numPr>
          <w:numId w:val="7"/>
          <w:ilvl w:val="0"/>
        </w:numPr>
      </w:pPr>
      <w:r>
        <w:t xml:space="preserve">Pollock and Krasner</w:t>
      </w:r>
      <w:r>
        <w:t xml:space="preserve"> </w:t>
      </w:r>
      <w:hyperlink r:id="link12">
        <w:r>
          <w:rPr>
            <w:rStyle w:val="Hyperlink"/>
          </w:rPr>
          <w:t xml:space="preserve">House and Study Center</w:t>
        </w:r>
      </w:hyperlink>
      <w:br/>
    </w:p>
    <w:p>
      <w:pPr>
        <w:numPr>
          <w:numId w:val="7"/>
          <w:ilvl w:val="0"/>
        </w:numPr>
      </w:pPr>
      <w:r>
        <w:t xml:space="preserve">Robert Motherwell,</w:t>
      </w:r>
      <w:r>
        <w:t xml:space="preserve"> </w:t>
      </w:r>
      <w:hyperlink r:id="link13">
        <w:r>
          <w:rPr>
            <w:rStyle w:val="Hyperlink"/>
          </w:rPr>
          <w:t xml:space="preserve">the Dedalus Foundation</w:t>
        </w:r>
      </w:hyperlink>
      <w:br/>
    </w:p>
    <w:p>
      <w:pPr>
        <w:numPr>
          <w:numId w:val="7"/>
          <w:ilvl w:val="0"/>
        </w:numPr>
      </w:pPr>
      <w:r>
        <w:t xml:space="preserve">Full text of</w:t>
      </w:r>
      <w:r>
        <w:t xml:space="preserve"> </w:t>
      </w:r>
      <w:hyperlink r:id="link14">
        <w:r>
          <w:rPr>
            <w:i/>
            <w:rStyle w:val="Hyperlink"/>
          </w:rPr>
          <w:t xml:space="preserve">Lament for Ignacio Sanchez Mejias</w:t>
        </w:r>
      </w:hyperlink>
      <w:r>
        <w:t xml:space="preserve"> </w:t>
      </w:r>
      <w:r>
        <w:t xml:space="preserve">by Frederico Garcia Lorca</w:t>
      </w:r>
    </w:p>
    <w:p>
      <w:pPr>
        <w:numPr>
          <w:numId w:val="7"/>
          <w:ilvl w:val="0"/>
        </w:numPr>
      </w:pPr>
      <w:r>
        <w:t xml:space="preserve">Mark Rothko at the</w:t>
      </w:r>
      <w:r>
        <w:t xml:space="preserve"> </w:t>
      </w:r>
      <w:hyperlink r:id="link15">
        <w:r>
          <w:rPr>
            <w:rStyle w:val="Hyperlink"/>
          </w:rPr>
          <w:t xml:space="preserve">National Gallery of Art</w:t>
        </w:r>
      </w:hyperlink>
      <w:br/>
    </w:p>
    <w:p>
      <w:pPr>
        <w:numPr>
          <w:numId w:val="7"/>
          <w:ilvl w:val="0"/>
        </w:numPr>
      </w:pPr>
      <w:hyperlink r:id="link16">
        <w:r>
          <w:rPr>
            <w:rStyle w:val="Hyperlink"/>
          </w:rPr>
          <w:t xml:space="preserve">The Clyfford Still Museum</w:t>
        </w:r>
      </w:hyperlink>
      <w:r>
        <w:t xml:space="preserve"> </w:t>
      </w:r>
      <w:r>
        <w:rPr>
          <w:i/>
        </w:rPr>
        <w:t xml:space="preserve">under construction in Denver</w:t>
      </w:r>
    </w:p>
    <w:p>
      <w:pPr>
        <w:numPr>
          <w:numId w:val="7"/>
          <w:ilvl w:val="0"/>
        </w:numPr>
      </w:pPr>
      <w:r>
        <w:t xml:space="preserve">Clyfford Still,</w:t>
      </w:r>
      <w:r>
        <w:t xml:space="preserve"> </w:t>
      </w:r>
      <w:hyperlink r:id="link17">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0" Target="http://arshilegorkyfoundation.org" TargetMode="External" /><Relationship Type="http://schemas.openxmlformats.org/officeDocument/2006/relationships/hyperlink" Id="link17" Target="http://blogs.artinfo.com/modernartnotes/2010/09/clyfford-stills-dysfunctional-relationship-with-moma/" TargetMode="External" /><Relationship Type="http://schemas.openxmlformats.org/officeDocument/2006/relationships/hyperlink" Id="link14" Target="http://boppin.com/lorca/lament.html" TargetMode="External" /><Relationship Type="http://schemas.openxmlformats.org/officeDocument/2006/relationships/hyperlink" Id="link13" Target="http://dedalusfoundation.org/index.php/site/motherwell/" TargetMode="External" /><Relationship Type="http://schemas.openxmlformats.org/officeDocument/2006/relationships/hyperlink" Id="link8" Target="http://facweb.cs.depaul.edu/sgrais/gestalt_principles.htm" TargetMode="External" /><Relationship Type="http://schemas.openxmlformats.org/officeDocument/2006/relationships/hyperlink" Id="link7" Target="http://graphicdesign.spokanefalls.edu/tutorials/process/gestaltprinciples/gestaltprinc.htm" TargetMode="External" /><Relationship Type="http://schemas.openxmlformats.org/officeDocument/2006/relationships/hyperlink" Id="link1" Target="http://jonathangabel.com/documents/art125/ppt/Art125Unit02-01.EuropeanInfluence.pptx" TargetMode="External" /><Relationship Type="http://schemas.openxmlformats.org/officeDocument/2006/relationships/hyperlink" Id="link2" Target="http://jonathangabel.com/documents/art125/ppt/Art125Unit02-02.LineAndGesture.pptx" TargetMode="External" /><Relationship Type="http://schemas.openxmlformats.org/officeDocument/2006/relationships/hyperlink" Id="link3" Target="http://jonathangabel.com/documents/art125/ppt/Art125Unit02-03.ColorField.pptx" TargetMode="External" /><Relationship Type="http://schemas.openxmlformats.org/officeDocument/2006/relationships/hyperlink" Id="link12" Target="http://sb.cc.stonybrook.edu/pkhouse/" TargetMode="External" /><Relationship Type="http://schemas.openxmlformats.org/officeDocument/2006/relationships/hyperlink" Id="link6" Target="http://www.artamble.com/art/miscpix/12rules.htm" TargetMode="External" /><Relationship Type="http://schemas.openxmlformats.org/officeDocument/2006/relationships/hyperlink" Id="link16" Target="http://www.clyffordstillmuseum.org/" TargetMode="External" /><Relationship Type="http://schemas.openxmlformats.org/officeDocument/2006/relationships/hyperlink" Id="link11" Target="http://www.hanshofmann.org" TargetMode="External" /><Relationship Type="http://schemas.openxmlformats.org/officeDocument/2006/relationships/hyperlink" Id="link4" Target="http://www.moma.org/interactives/exhibitions/2010/abexny/" TargetMode="External" /><Relationship Type="http://schemas.openxmlformats.org/officeDocument/2006/relationships/hyperlink" Id="link15"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5" Target="http://www.theartstory.org/review-abex.htm" TargetMode="External" /><Relationship Type="http://schemas.openxmlformats.org/officeDocument/2006/relationships/hyperlink" Id="link9"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