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p>
      <w:pPr>
        <w:numPr>
          <w:numId w:val="12"/>
          <w:ilvl w:val="0"/>
        </w:numPr>
      </w:pPr>
      <w:r>
        <w:t xml:space="preserve">Why is printmaking important to pop art?</w:t>
      </w:r>
      <w:r>
        <w:rPr>
          <w:i/>
        </w:rPr>
        <w:t xml:space="preserve">[Printmaking made it possible for Pop artists to copy directly the images and methods of commercial art.]</w:t>
      </w:r>
    </w:p>
    <w:p>
      <w:pPr>
        <w:numPr>
          <w:numId w:val="12"/>
          <w:ilvl w:val="0"/>
        </w:numPr>
      </w:pPr>
      <w:r>
        <w:t xml:space="preserve">How does Warhol play with the "idea" or "role" of the artist in society?</w:t>
      </w:r>
      <w:r>
        <w:t xml:space="preserve"> </w:t>
      </w:r>
      <w:r>
        <w:rPr>
          <w:i/>
        </w:rPr>
        <w:t xml:space="preserve">[One possible anwer: Unlike Abstract Expressionsits, who were all about the Individual, and the "signature mark" of the artists, Warhol pushed in the other direction, describing himself as "a machine" or "like everybody else".]</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