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4BE5" w:rsidRPr="00954BE5" w:rsidRDefault="00954BE5" w:rsidP="00954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54BE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RELATÓRIO</w:t>
      </w:r>
    </w:p>
    <w:p w:rsidR="00954BE5" w:rsidRPr="00954BE5" w:rsidRDefault="00954BE5" w:rsidP="00954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4BE5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diligências realizadas, constatou-se que:</w:t>
      </w:r>
    </w:p>
    <w:p w:rsidR="00954BE5" w:rsidRPr="00954BE5" w:rsidRDefault="00954BE5" w:rsidP="00954B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54BE5">
        <w:rPr>
          <w:rFonts w:ascii="Times New Roman" w:eastAsia="Times New Roman" w:hAnsi="Times New Roman" w:cs="Times New Roman"/>
          <w:sz w:val="24"/>
          <w:szCs w:val="24"/>
          <w:lang w:eastAsia="pt-BR"/>
        </w:rPr>
        <w:t>não</w:t>
      </w:r>
      <w:proofErr w:type="gramEnd"/>
      <w:r w:rsidRPr="00954BE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há provas suficientes de que o investigado tenha agido com dolo antecedente;</w:t>
      </w:r>
    </w:p>
    <w:p w:rsidR="00954BE5" w:rsidRPr="00954BE5" w:rsidRDefault="00954BE5" w:rsidP="00954B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54BE5">
        <w:rPr>
          <w:rFonts w:ascii="Times New Roman" w:eastAsia="Times New Roman" w:hAnsi="Times New Roman" w:cs="Times New Roman"/>
          <w:sz w:val="24"/>
          <w:szCs w:val="24"/>
          <w:lang w:eastAsia="pt-BR"/>
        </w:rPr>
        <w:t>os</w:t>
      </w:r>
      <w:proofErr w:type="gramEnd"/>
      <w:r w:rsidRPr="00954BE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documentos indicam tentativa parcial de execução do contrato;</w:t>
      </w:r>
    </w:p>
    <w:p w:rsidR="00954BE5" w:rsidRPr="00954BE5" w:rsidRDefault="00954BE5" w:rsidP="00954B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54BE5">
        <w:rPr>
          <w:rFonts w:ascii="Times New Roman" w:eastAsia="Times New Roman" w:hAnsi="Times New Roman" w:cs="Times New Roman"/>
          <w:sz w:val="24"/>
          <w:szCs w:val="24"/>
          <w:lang w:eastAsia="pt-BR"/>
        </w:rPr>
        <w:t>as</w:t>
      </w:r>
      <w:proofErr w:type="gramEnd"/>
      <w:r w:rsidRPr="00954BE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falhas caracterizam, em tese, inadimplemento contratual.</w:t>
      </w:r>
    </w:p>
    <w:p w:rsidR="00954BE5" w:rsidRPr="00954BE5" w:rsidRDefault="00954BE5" w:rsidP="00954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54BE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CONCLUSÃO</w:t>
      </w:r>
    </w:p>
    <w:p w:rsidR="00954BE5" w:rsidRPr="00954BE5" w:rsidRDefault="00954BE5" w:rsidP="00954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4BE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Diante dos elementos colhidos, </w:t>
      </w:r>
      <w:r w:rsidRPr="00954BE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restou comprovada a intenção fraudulenta necessária à configuração do crime de estelionato</w:t>
      </w:r>
      <w:r w:rsidRPr="00954BE5">
        <w:rPr>
          <w:rFonts w:ascii="Times New Roman" w:eastAsia="Times New Roman" w:hAnsi="Times New Roman" w:cs="Times New Roman"/>
          <w:sz w:val="24"/>
          <w:szCs w:val="24"/>
          <w:lang w:eastAsia="pt-BR"/>
        </w:rPr>
        <w:t>, razão pela qual os autos são encaminhados ao Ministério Público para apreciação.</w:t>
      </w:r>
    </w:p>
    <w:p w:rsidR="00131D66" w:rsidRDefault="00131D66" w:rsidP="00954BE5">
      <w:pPr>
        <w:pStyle w:val="SemEspaamento"/>
      </w:pPr>
      <w:bookmarkStart w:id="0" w:name="_GoBack"/>
      <w:bookmarkEnd w:id="0"/>
    </w:p>
    <w:sectPr w:rsidR="00131D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C4783D"/>
    <w:multiLevelType w:val="multilevel"/>
    <w:tmpl w:val="1190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C90"/>
    <w:rsid w:val="00131D66"/>
    <w:rsid w:val="006F5C90"/>
    <w:rsid w:val="00954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7DAA8D-7541-4267-AC7E-0B414EACF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954B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954BE5"/>
    <w:pPr>
      <w:spacing w:after="0" w:line="240" w:lineRule="auto"/>
    </w:pPr>
  </w:style>
  <w:style w:type="character" w:customStyle="1" w:styleId="Ttulo3Char">
    <w:name w:val="Título 3 Char"/>
    <w:basedOn w:val="Fontepargpadro"/>
    <w:link w:val="Ttulo3"/>
    <w:uiPriority w:val="9"/>
    <w:rsid w:val="00954BE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54B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54B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58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407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Ailton</dc:creator>
  <cp:keywords/>
  <dc:description/>
  <cp:lastModifiedBy>Ailton</cp:lastModifiedBy>
  <cp:revision>2</cp:revision>
  <dcterms:created xsi:type="dcterms:W3CDTF">2025-12-25T19:11:00Z</dcterms:created>
  <dcterms:modified xsi:type="dcterms:W3CDTF">2025-12-25T19:11:00Z</dcterms:modified>
</cp:coreProperties>
</file>