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77CD" w:rsidRDefault="009F77CD">
      <w:bookmarkStart w:id="0" w:name="_GoBack"/>
      <w:bookmarkEnd w:id="0"/>
      <w:r>
        <w:rPr>
          <w:rFonts w:ascii="Times New Roman" w:eastAsia="Times New Roman" w:hAnsi="Times New Roman" w:cs="Times New Roman"/>
          <w:b/>
          <w:bCs/>
          <w:noProof/>
          <w:sz w:val="32"/>
          <w:szCs w:val="32"/>
          <w:lang w:eastAsia="en-AU"/>
        </w:rPr>
        <w:drawing>
          <wp:anchor distT="0" distB="0" distL="114300" distR="114300" simplePos="0" relativeHeight="251659264" behindDoc="1" locked="0" layoutInCell="1" allowOverlap="1" wp14:anchorId="19869493" wp14:editId="5AFE8745">
            <wp:simplePos x="0" y="0"/>
            <wp:positionH relativeFrom="margin">
              <wp:posOffset>-898424</wp:posOffset>
            </wp:positionH>
            <wp:positionV relativeFrom="margin">
              <wp:posOffset>-586740</wp:posOffset>
            </wp:positionV>
            <wp:extent cx="5197799" cy="1146412"/>
            <wp:effectExtent l="0" t="0" r="3175" b="0"/>
            <wp:wrapNone/>
            <wp:docPr id="3" name="Picture 3" descr="Letterheadc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tterheadcrop"/>
                    <pic:cNvPicPr>
                      <a:picLocks noChangeAspect="1" noChangeArrowheads="1"/>
                    </pic:cNvPicPr>
                  </pic:nvPicPr>
                  <pic:blipFill rotWithShape="1">
                    <a:blip r:embed="rId5">
                      <a:extLst>
                        <a:ext uri="{28A0092B-C50C-407E-A947-70E740481C1C}">
                          <a14:useLocalDpi xmlns:a14="http://schemas.microsoft.com/office/drawing/2010/main" val="0"/>
                        </a:ext>
                      </a:extLst>
                    </a:blip>
                    <a:srcRect t="29123" r="44549"/>
                    <a:stretch/>
                  </pic:blipFill>
                  <pic:spPr bwMode="auto">
                    <a:xfrm>
                      <a:off x="0" y="0"/>
                      <a:ext cx="5197799" cy="114641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bCs/>
          <w:noProof/>
          <w:sz w:val="32"/>
          <w:szCs w:val="32"/>
          <w:lang w:eastAsia="en-AU"/>
        </w:rPr>
        <w:drawing>
          <wp:anchor distT="0" distB="0" distL="114300" distR="114300" simplePos="0" relativeHeight="251663360" behindDoc="1" locked="0" layoutInCell="1" allowOverlap="1" wp14:anchorId="34264573" wp14:editId="3B432245">
            <wp:simplePos x="0" y="0"/>
            <wp:positionH relativeFrom="margin">
              <wp:posOffset>4293501</wp:posOffset>
            </wp:positionH>
            <wp:positionV relativeFrom="margin">
              <wp:posOffset>-720090</wp:posOffset>
            </wp:positionV>
            <wp:extent cx="2133389" cy="1187355"/>
            <wp:effectExtent l="0" t="0" r="635" b="0"/>
            <wp:wrapNone/>
            <wp:docPr id="6" name="Picture 6" descr="Letterheadc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tterheadcrop"/>
                    <pic:cNvPicPr>
                      <a:picLocks noChangeAspect="1" noChangeArrowheads="1"/>
                    </pic:cNvPicPr>
                  </pic:nvPicPr>
                  <pic:blipFill rotWithShape="1">
                    <a:blip r:embed="rId5">
                      <a:extLst>
                        <a:ext uri="{28A0092B-C50C-407E-A947-70E740481C1C}">
                          <a14:useLocalDpi xmlns:a14="http://schemas.microsoft.com/office/drawing/2010/main" val="0"/>
                        </a:ext>
                      </a:extLst>
                    </a:blip>
                    <a:srcRect l="81391" t="40000"/>
                    <a:stretch/>
                  </pic:blipFill>
                  <pic:spPr bwMode="auto">
                    <a:xfrm>
                      <a:off x="0" y="0"/>
                      <a:ext cx="2133389" cy="11873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F77CD" w:rsidRDefault="009F77CD"/>
    <w:p w:rsidR="00C524CF" w:rsidRPr="009F77CD" w:rsidRDefault="00C524CF" w:rsidP="00C524CF">
      <w:pPr>
        <w:jc w:val="center"/>
        <w:rPr>
          <w:rFonts w:ascii="Arial Rounded MT Bold" w:hAnsi="Arial Rounded MT Bold"/>
          <w:b/>
          <w:bCs/>
          <w:i/>
          <w:iCs/>
          <w:sz w:val="28"/>
          <w:szCs w:val="28"/>
        </w:rPr>
      </w:pPr>
      <w:r>
        <w:rPr>
          <w:rFonts w:ascii="Arial Rounded MT Bold" w:hAnsi="Arial Rounded MT Bold"/>
          <w:b/>
          <w:bCs/>
          <w:i/>
          <w:iCs/>
          <w:sz w:val="28"/>
          <w:szCs w:val="28"/>
        </w:rPr>
        <w:t>ACPID Pre-Conference Workshop, 27 Nov 2014, 1.30pm to 5pm</w:t>
      </w:r>
    </w:p>
    <w:p w:rsidR="009F77CD" w:rsidRPr="009F77CD" w:rsidRDefault="009F77CD" w:rsidP="009F77CD">
      <w:pPr>
        <w:jc w:val="center"/>
        <w:rPr>
          <w:rFonts w:ascii="Arial Rounded MT Bold" w:hAnsi="Arial Rounded MT Bold"/>
          <w:b/>
          <w:bCs/>
          <w:sz w:val="32"/>
          <w:szCs w:val="32"/>
        </w:rPr>
      </w:pPr>
      <w:r w:rsidRPr="009F77CD">
        <w:rPr>
          <w:rFonts w:ascii="Arial Rounded MT Bold" w:hAnsi="Arial Rounded MT Bold"/>
          <w:b/>
          <w:bCs/>
          <w:sz w:val="32"/>
          <w:szCs w:val="32"/>
        </w:rPr>
        <w:t>Developments in cognitive theory and assessment:</w:t>
      </w:r>
    </w:p>
    <w:p w:rsidR="009F77CD" w:rsidRDefault="009F77CD" w:rsidP="009F77CD">
      <w:pPr>
        <w:jc w:val="center"/>
        <w:rPr>
          <w:rFonts w:ascii="Arial Rounded MT Bold" w:hAnsi="Arial Rounded MT Bold"/>
          <w:b/>
          <w:bCs/>
          <w:i/>
          <w:iCs/>
          <w:sz w:val="28"/>
          <w:szCs w:val="28"/>
        </w:rPr>
      </w:pPr>
      <w:r w:rsidRPr="009F77CD">
        <w:rPr>
          <w:rFonts w:ascii="Arial Rounded MT Bold" w:hAnsi="Arial Rounded MT Bold"/>
          <w:b/>
          <w:bCs/>
          <w:i/>
          <w:iCs/>
          <w:sz w:val="28"/>
          <w:szCs w:val="28"/>
        </w:rPr>
        <w:t>Cattell-Horn-Carroll theory and Cross-Battery Assessment</w:t>
      </w:r>
    </w:p>
    <w:p w:rsidR="009F77CD" w:rsidRPr="009F77CD" w:rsidRDefault="009F77CD" w:rsidP="009F77CD">
      <w:pPr>
        <w:spacing w:after="120" w:line="240" w:lineRule="auto"/>
        <w:rPr>
          <w:rFonts w:asciiTheme="minorBidi" w:hAnsiTheme="minorBidi"/>
        </w:rPr>
      </w:pPr>
      <w:r w:rsidRPr="009F77CD">
        <w:rPr>
          <w:rFonts w:asciiTheme="minorBidi" w:hAnsiTheme="minorBidi"/>
        </w:rPr>
        <w:t>This half-day workshop details and demonstrates recent advances in the field of cognitive assessment afforded by Cattell-Horn-Carroll (CHC) theory based methods of cross-battery assessment (XBA). In addition to gaining an understanding of the multiple CHC abilities important for literacy and numeracy acquisition, attendees will be able to classify major intelligence batteries according to the CHC abilities they measure.</w:t>
      </w:r>
    </w:p>
    <w:p w:rsidR="009F77CD" w:rsidRDefault="009F77CD" w:rsidP="009F77CD">
      <w:pPr>
        <w:spacing w:after="120" w:line="240" w:lineRule="auto"/>
        <w:rPr>
          <w:rFonts w:asciiTheme="minorBidi" w:hAnsiTheme="minorBidi"/>
        </w:rPr>
      </w:pPr>
      <w:r w:rsidRPr="009F77CD">
        <w:rPr>
          <w:rFonts w:asciiTheme="minorBidi" w:hAnsiTheme="minorBidi"/>
        </w:rPr>
        <w:t xml:space="preserve">Considered by many scholars in the field as providing the most accurate representation of the structure of human cognitive abilities currently available, CHC theory provides a greatly expanded understanding of the individual differences of cognitive functioning. This expansion in understanding identified a significant theory-to-practice gap in cognitive assessment. To address this, the cross-battery assessment approach was developed which provides researchers and practitioners with a series of psychometrically defensible guidelines that enables the valid and reliable integration of results from different test batteries. </w:t>
      </w:r>
    </w:p>
    <w:p w:rsidR="009F77CD" w:rsidRDefault="009F77CD" w:rsidP="009F77CD">
      <w:pPr>
        <w:spacing w:after="120" w:line="240" w:lineRule="auto"/>
        <w:rPr>
          <w:rFonts w:asciiTheme="minorBidi" w:hAnsiTheme="minorBidi"/>
        </w:rPr>
      </w:pPr>
      <w:r>
        <w:rPr>
          <w:rFonts w:asciiTheme="minorBidi" w:hAnsiTheme="minorBidi"/>
          <w:noProof/>
          <w:lang w:eastAsia="en-AU"/>
        </w:rPr>
        <mc:AlternateContent>
          <mc:Choice Requires="wps">
            <w:drawing>
              <wp:anchor distT="0" distB="0" distL="114300" distR="114300" simplePos="0" relativeHeight="251660288" behindDoc="0" locked="0" layoutInCell="1" allowOverlap="1" wp14:anchorId="043C619B" wp14:editId="1B792B89">
                <wp:simplePos x="0" y="0"/>
                <wp:positionH relativeFrom="column">
                  <wp:posOffset>0</wp:posOffset>
                </wp:positionH>
                <wp:positionV relativeFrom="paragraph">
                  <wp:posOffset>94615</wp:posOffset>
                </wp:positionV>
                <wp:extent cx="5772785" cy="1692275"/>
                <wp:effectExtent l="0" t="0" r="0" b="3175"/>
                <wp:wrapNone/>
                <wp:docPr id="4" name="Rectangle 4"/>
                <wp:cNvGraphicFramePr/>
                <a:graphic xmlns:a="http://schemas.openxmlformats.org/drawingml/2006/main">
                  <a:graphicData uri="http://schemas.microsoft.com/office/word/2010/wordprocessingShape">
                    <wps:wsp>
                      <wps:cNvSpPr/>
                      <wps:spPr>
                        <a:xfrm>
                          <a:off x="0" y="0"/>
                          <a:ext cx="5772785" cy="1692275"/>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F77CD" w:rsidRPr="009F77CD" w:rsidRDefault="009F77CD" w:rsidP="009F77CD">
                            <w:pPr>
                              <w:spacing w:after="120" w:line="240" w:lineRule="auto"/>
                              <w:rPr>
                                <w:rFonts w:asciiTheme="minorBidi" w:hAnsiTheme="minorBidi"/>
                                <w:sz w:val="24"/>
                                <w:szCs w:val="24"/>
                              </w:rPr>
                            </w:pPr>
                            <w:r w:rsidRPr="009F77CD">
                              <w:rPr>
                                <w:rFonts w:asciiTheme="minorBidi" w:hAnsiTheme="minorBidi"/>
                                <w:b/>
                                <w:bCs/>
                                <w:sz w:val="24"/>
                                <w:szCs w:val="24"/>
                              </w:rPr>
                              <w:t>Key learning outcomes will include the ability to</w:t>
                            </w:r>
                            <w:r w:rsidRPr="009F77CD">
                              <w:rPr>
                                <w:rFonts w:asciiTheme="minorBidi" w:hAnsiTheme="minorBidi"/>
                                <w:sz w:val="24"/>
                                <w:szCs w:val="24"/>
                              </w:rPr>
                              <w:t>:</w:t>
                            </w:r>
                          </w:p>
                          <w:p w:rsidR="009F77CD" w:rsidRPr="009F77CD" w:rsidRDefault="009F77CD" w:rsidP="009F77CD">
                            <w:pPr>
                              <w:spacing w:after="120" w:line="240" w:lineRule="auto"/>
                              <w:rPr>
                                <w:rFonts w:asciiTheme="minorBidi" w:hAnsiTheme="minorBidi"/>
                                <w:sz w:val="24"/>
                                <w:szCs w:val="24"/>
                              </w:rPr>
                            </w:pPr>
                            <w:r w:rsidRPr="009F77CD">
                              <w:rPr>
                                <w:rFonts w:asciiTheme="minorBidi" w:hAnsiTheme="minorBidi"/>
                                <w:sz w:val="24"/>
                                <w:szCs w:val="24"/>
                              </w:rPr>
                              <w:t>1) Define CHC theory and recognise the multiple abilities contained within the model</w:t>
                            </w:r>
                          </w:p>
                          <w:p w:rsidR="009F77CD" w:rsidRPr="009F77CD" w:rsidRDefault="009F77CD" w:rsidP="009F77CD">
                            <w:pPr>
                              <w:spacing w:after="120" w:line="240" w:lineRule="auto"/>
                              <w:rPr>
                                <w:rFonts w:asciiTheme="minorBidi" w:hAnsiTheme="minorBidi"/>
                                <w:sz w:val="24"/>
                                <w:szCs w:val="24"/>
                              </w:rPr>
                            </w:pPr>
                            <w:r w:rsidRPr="009F77CD">
                              <w:rPr>
                                <w:rFonts w:asciiTheme="minorBidi" w:hAnsiTheme="minorBidi"/>
                                <w:sz w:val="24"/>
                                <w:szCs w:val="24"/>
                              </w:rPr>
                              <w:t>2) Classify a range of different intelligence test batteries according to the CHC abilities they measure</w:t>
                            </w:r>
                          </w:p>
                          <w:p w:rsidR="009F77CD" w:rsidRPr="009F77CD" w:rsidRDefault="009F77CD" w:rsidP="009F77CD">
                            <w:pPr>
                              <w:spacing w:after="120" w:line="240" w:lineRule="auto"/>
                              <w:rPr>
                                <w:rFonts w:asciiTheme="minorBidi" w:hAnsiTheme="minorBidi"/>
                                <w:sz w:val="24"/>
                                <w:szCs w:val="24"/>
                              </w:rPr>
                            </w:pPr>
                            <w:r w:rsidRPr="009F77CD">
                              <w:rPr>
                                <w:rFonts w:asciiTheme="minorBidi" w:hAnsiTheme="minorBidi"/>
                                <w:sz w:val="24"/>
                                <w:szCs w:val="24"/>
                              </w:rPr>
                              <w:t>3) Identify the CHC abilities important for literacy and numeracy acquisition</w:t>
                            </w:r>
                          </w:p>
                          <w:p w:rsidR="009F77CD" w:rsidRPr="009F77CD" w:rsidRDefault="009F77CD" w:rsidP="009F77CD">
                            <w:pPr>
                              <w:spacing w:after="120" w:line="240" w:lineRule="auto"/>
                              <w:rPr>
                                <w:rFonts w:asciiTheme="minorBidi" w:hAnsiTheme="minorBidi"/>
                                <w:sz w:val="24"/>
                                <w:szCs w:val="24"/>
                              </w:rPr>
                            </w:pPr>
                            <w:r w:rsidRPr="009F77CD">
                              <w:rPr>
                                <w:rFonts w:asciiTheme="minorBidi" w:hAnsiTheme="minorBidi"/>
                                <w:sz w:val="24"/>
                                <w:szCs w:val="24"/>
                              </w:rPr>
                              <w:t>4) Define cross-battery assessment</w:t>
                            </w:r>
                          </w:p>
                          <w:p w:rsidR="009F77CD" w:rsidRPr="009F77CD" w:rsidRDefault="009F77CD" w:rsidP="009F77CD">
                            <w:pPr>
                              <w:jc w:val="center"/>
                              <w:rPr>
                                <w:sz w:val="24"/>
                                <w:szCs w:val="24"/>
                              </w:rPr>
                            </w:pPr>
                            <w:r w:rsidRPr="009F77CD">
                              <w:rPr>
                                <w:rFonts w:asciiTheme="minorBidi" w:hAnsiTheme="minorBidi"/>
                                <w:sz w:val="24"/>
                                <w:szCs w:val="24"/>
                              </w:rPr>
                              <w:t>5) Recognise the processes involved in applying a cross-battery assessment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0;margin-top:7.45pt;width:454.55pt;height:133.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" fillcolor="#365f91 [2404]" stroked="f" strokeweight="2pt">
                <v:textbox>
                  <w:txbxContent>
                    <w:p w:rsidR="009F77CD" w:rsidRPr="009F77CD" w:rsidRDefault="009F77CD" w:rsidP="009F77CD">
                      <w:pPr>
                        <w:spacing w:after="120" w:line="240" w:lineRule="auto"/>
                        <w:rPr>
                          <w:rFonts w:asciiTheme="minorBidi" w:hAnsiTheme="minorBidi"/>
                          <w:sz w:val="24"/>
                          <w:szCs w:val="24"/>
                        </w:rPr>
                      </w:pPr>
                      <w:r w:rsidRPr="009F77CD">
                        <w:rPr>
                          <w:rFonts w:asciiTheme="minorBidi" w:hAnsiTheme="minorBidi"/>
                          <w:b/>
                          <w:bCs/>
                          <w:sz w:val="24"/>
                          <w:szCs w:val="24"/>
                        </w:rPr>
                        <w:t>Key learning outcomes will include the ability to</w:t>
                      </w:r>
                      <w:r w:rsidRPr="009F77CD">
                        <w:rPr>
                          <w:rFonts w:asciiTheme="minorBidi" w:hAnsiTheme="minorBidi"/>
                          <w:sz w:val="24"/>
                          <w:szCs w:val="24"/>
                        </w:rPr>
                        <w:t>:</w:t>
                      </w:r>
                    </w:p>
                    <w:p w:rsidR="009F77CD" w:rsidRPr="009F77CD" w:rsidRDefault="009F77CD" w:rsidP="009F77CD">
                      <w:pPr>
                        <w:spacing w:after="120" w:line="240" w:lineRule="auto"/>
                        <w:rPr>
                          <w:rFonts w:asciiTheme="minorBidi" w:hAnsiTheme="minorBidi"/>
                          <w:sz w:val="24"/>
                          <w:szCs w:val="24"/>
                        </w:rPr>
                      </w:pPr>
                      <w:r w:rsidRPr="009F77CD">
                        <w:rPr>
                          <w:rFonts w:asciiTheme="minorBidi" w:hAnsiTheme="minorBidi"/>
                          <w:sz w:val="24"/>
                          <w:szCs w:val="24"/>
                        </w:rPr>
                        <w:t>1) Define CHC theory and recognise the multiple abilities contained within the model</w:t>
                      </w:r>
                    </w:p>
                    <w:p w:rsidR="009F77CD" w:rsidRPr="009F77CD" w:rsidRDefault="009F77CD" w:rsidP="009F77CD">
                      <w:pPr>
                        <w:spacing w:after="120" w:line="240" w:lineRule="auto"/>
                        <w:rPr>
                          <w:rFonts w:asciiTheme="minorBidi" w:hAnsiTheme="minorBidi"/>
                          <w:sz w:val="24"/>
                          <w:szCs w:val="24"/>
                        </w:rPr>
                      </w:pPr>
                      <w:r w:rsidRPr="009F77CD">
                        <w:rPr>
                          <w:rFonts w:asciiTheme="minorBidi" w:hAnsiTheme="minorBidi"/>
                          <w:sz w:val="24"/>
                          <w:szCs w:val="24"/>
                        </w:rPr>
                        <w:t>2) Classify a range of different intelligence test batteries according to the CHC abilities they measure</w:t>
                      </w:r>
                    </w:p>
                    <w:p w:rsidR="009F77CD" w:rsidRPr="009F77CD" w:rsidRDefault="009F77CD" w:rsidP="009F77CD">
                      <w:pPr>
                        <w:spacing w:after="120" w:line="240" w:lineRule="auto"/>
                        <w:rPr>
                          <w:rFonts w:asciiTheme="minorBidi" w:hAnsiTheme="minorBidi"/>
                          <w:sz w:val="24"/>
                          <w:szCs w:val="24"/>
                        </w:rPr>
                      </w:pPr>
                      <w:r w:rsidRPr="009F77CD">
                        <w:rPr>
                          <w:rFonts w:asciiTheme="minorBidi" w:hAnsiTheme="minorBidi"/>
                          <w:sz w:val="24"/>
                          <w:szCs w:val="24"/>
                        </w:rPr>
                        <w:t>3) Identify the CHC abilities important for literacy and numeracy acquisition</w:t>
                      </w:r>
                    </w:p>
                    <w:p w:rsidR="009F77CD" w:rsidRPr="009F77CD" w:rsidRDefault="009F77CD" w:rsidP="009F77CD">
                      <w:pPr>
                        <w:spacing w:after="120" w:line="240" w:lineRule="auto"/>
                        <w:rPr>
                          <w:rFonts w:asciiTheme="minorBidi" w:hAnsiTheme="minorBidi"/>
                          <w:sz w:val="24"/>
                          <w:szCs w:val="24"/>
                        </w:rPr>
                      </w:pPr>
                      <w:r w:rsidRPr="009F77CD">
                        <w:rPr>
                          <w:rFonts w:asciiTheme="minorBidi" w:hAnsiTheme="minorBidi"/>
                          <w:sz w:val="24"/>
                          <w:szCs w:val="24"/>
                        </w:rPr>
                        <w:t>4) Define cross-battery assessment</w:t>
                      </w:r>
                    </w:p>
                    <w:p w:rsidR="009F77CD" w:rsidRPr="009F77CD" w:rsidRDefault="009F77CD" w:rsidP="009F77CD">
                      <w:pPr>
                        <w:jc w:val="center"/>
                        <w:rPr>
                          <w:sz w:val="24"/>
                          <w:szCs w:val="24"/>
                        </w:rPr>
                      </w:pPr>
                      <w:r w:rsidRPr="009F77CD">
                        <w:rPr>
                          <w:rFonts w:asciiTheme="minorBidi" w:hAnsiTheme="minorBidi"/>
                          <w:sz w:val="24"/>
                          <w:szCs w:val="24"/>
                        </w:rPr>
                        <w:t>5) Recognise the processes involved in applying a cross-battery assessment</w:t>
                      </w:r>
                    </w:p>
                  </w:txbxContent>
                </v:textbox>
              </v:rect>
            </w:pict>
          </mc:Fallback>
        </mc:AlternateContent>
      </w:r>
    </w:p>
    <w:p w:rsidR="009F77CD" w:rsidRDefault="009F77CD" w:rsidP="009F77CD">
      <w:pPr>
        <w:spacing w:after="120" w:line="240" w:lineRule="auto"/>
        <w:rPr>
          <w:rFonts w:asciiTheme="minorBidi" w:hAnsiTheme="minorBidi"/>
        </w:rPr>
      </w:pPr>
    </w:p>
    <w:p w:rsidR="009F77CD" w:rsidRPr="009F77CD" w:rsidRDefault="009F77CD" w:rsidP="009F77CD">
      <w:pPr>
        <w:spacing w:after="120" w:line="240" w:lineRule="auto"/>
        <w:rPr>
          <w:rFonts w:asciiTheme="minorBidi" w:hAnsiTheme="minorBidi"/>
        </w:rPr>
      </w:pPr>
    </w:p>
    <w:p w:rsidR="009F77CD" w:rsidRDefault="009F77CD" w:rsidP="009F77CD">
      <w:pPr>
        <w:spacing w:after="120" w:line="240" w:lineRule="auto"/>
        <w:rPr>
          <w:rFonts w:asciiTheme="minorBidi" w:hAnsiTheme="minorBidi"/>
        </w:rPr>
      </w:pPr>
    </w:p>
    <w:p w:rsidR="009F77CD" w:rsidRDefault="009F77CD" w:rsidP="009F77CD">
      <w:pPr>
        <w:spacing w:after="120" w:line="240" w:lineRule="auto"/>
        <w:rPr>
          <w:rFonts w:asciiTheme="minorBidi" w:hAnsiTheme="minorBidi"/>
        </w:rPr>
      </w:pPr>
    </w:p>
    <w:p w:rsidR="009F77CD" w:rsidRDefault="009F77CD" w:rsidP="009F77CD">
      <w:pPr>
        <w:spacing w:after="120" w:line="240" w:lineRule="auto"/>
        <w:rPr>
          <w:rFonts w:asciiTheme="minorBidi" w:hAnsiTheme="minorBidi"/>
        </w:rPr>
      </w:pPr>
    </w:p>
    <w:p w:rsidR="009F77CD" w:rsidRDefault="009F77CD" w:rsidP="009F77CD">
      <w:pPr>
        <w:spacing w:after="120" w:line="240" w:lineRule="auto"/>
        <w:rPr>
          <w:rFonts w:asciiTheme="minorBidi" w:hAnsiTheme="minorBidi"/>
        </w:rPr>
      </w:pPr>
    </w:p>
    <w:p w:rsidR="009F77CD" w:rsidRDefault="009F77CD" w:rsidP="009F77CD">
      <w:pPr>
        <w:spacing w:after="120" w:line="240" w:lineRule="auto"/>
        <w:rPr>
          <w:rFonts w:asciiTheme="minorBidi" w:hAnsiTheme="minorBidi"/>
        </w:rPr>
      </w:pPr>
    </w:p>
    <w:p w:rsidR="009F77CD" w:rsidRPr="009F77CD" w:rsidRDefault="009F77CD" w:rsidP="009F77CD">
      <w:pPr>
        <w:spacing w:after="120" w:line="240" w:lineRule="auto"/>
        <w:rPr>
          <w:rFonts w:asciiTheme="minorBidi" w:hAnsiTheme="minorBidi"/>
        </w:rPr>
      </w:pPr>
      <w:r w:rsidRPr="009F77CD">
        <w:rPr>
          <w:rFonts w:asciiTheme="minorBidi" w:hAnsiTheme="minorBidi"/>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7433"/>
      </w:tblGrid>
      <w:tr w:rsidR="009F77CD" w:rsidRPr="009F77CD" w:rsidTr="009F77CD">
        <w:tc>
          <w:tcPr>
            <w:tcW w:w="1809" w:type="dxa"/>
          </w:tcPr>
          <w:p w:rsidR="009F77CD" w:rsidRPr="009F77CD" w:rsidRDefault="009F77CD" w:rsidP="009F77CD">
            <w:pPr>
              <w:rPr>
                <w:rFonts w:asciiTheme="minorBidi" w:hAnsiTheme="minorBidi"/>
                <w:sz w:val="20"/>
                <w:szCs w:val="20"/>
              </w:rPr>
            </w:pPr>
            <w:r w:rsidRPr="009F77CD">
              <w:rPr>
                <w:rFonts w:asciiTheme="minorBidi" w:hAnsiTheme="minorBidi"/>
                <w:noProof/>
                <w:sz w:val="20"/>
                <w:szCs w:val="20"/>
                <w:lang w:eastAsia="en-AU"/>
              </w:rPr>
              <w:drawing>
                <wp:inline distT="0" distB="0" distL="0" distR="0" wp14:anchorId="5E9F9285" wp14:editId="2AC4DDEC">
                  <wp:extent cx="954157" cy="925244"/>
                  <wp:effectExtent l="0" t="0" r="0" b="8255"/>
                  <wp:docPr id="2" name="Picture 2" descr="website pic-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bsite pic-5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58044" cy="929013"/>
                          </a:xfrm>
                          <a:prstGeom prst="rect">
                            <a:avLst/>
                          </a:prstGeom>
                          <a:noFill/>
                          <a:ln>
                            <a:noFill/>
                          </a:ln>
                        </pic:spPr>
                      </pic:pic>
                    </a:graphicData>
                  </a:graphic>
                </wp:inline>
              </w:drawing>
            </w:r>
          </w:p>
        </w:tc>
        <w:tc>
          <w:tcPr>
            <w:tcW w:w="7433" w:type="dxa"/>
          </w:tcPr>
          <w:p w:rsidR="009F77CD" w:rsidRPr="009F77CD" w:rsidRDefault="009F77CD" w:rsidP="009F77CD">
            <w:pPr>
              <w:rPr>
                <w:rFonts w:asciiTheme="minorBidi" w:hAnsiTheme="minorBidi"/>
                <w:sz w:val="20"/>
                <w:szCs w:val="20"/>
              </w:rPr>
            </w:pPr>
            <w:r w:rsidRPr="009F77CD">
              <w:rPr>
                <w:rFonts w:asciiTheme="minorBidi" w:hAnsiTheme="minorBidi"/>
                <w:sz w:val="20"/>
                <w:szCs w:val="20"/>
              </w:rPr>
              <w:t>Dr Kate Jacobs (B.A., Post.Grad.Dip.Psych., PhD/M.Psych., MAPS) is a registered Psychologist and Lecturer in psychological assessment at Monash University who lectures and conducts research on cognitive theory and assessment. Additionally, she works in private practice where she regularly applies the principles of cross-battery assessment in her practice.</w:t>
            </w:r>
          </w:p>
        </w:tc>
      </w:tr>
    </w:tbl>
    <w:p w:rsidR="009F77CD" w:rsidRPr="009F77CD" w:rsidRDefault="009F77CD" w:rsidP="009F77CD">
      <w:pPr>
        <w:spacing w:after="0"/>
        <w:rPr>
          <w:rFonts w:asciiTheme="minorBidi" w:hAnsiTheme="minorBid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763"/>
        <w:gridCol w:w="1479"/>
      </w:tblGrid>
      <w:tr w:rsidR="009F77CD" w:rsidRPr="009F77CD" w:rsidTr="009F77CD">
        <w:tc>
          <w:tcPr>
            <w:tcW w:w="7763" w:type="dxa"/>
          </w:tcPr>
          <w:p w:rsidR="009F77CD" w:rsidRPr="009F77CD" w:rsidRDefault="009F77CD" w:rsidP="009F77CD">
            <w:pPr>
              <w:rPr>
                <w:rFonts w:asciiTheme="minorBidi" w:hAnsiTheme="minorBidi"/>
                <w:sz w:val="20"/>
                <w:szCs w:val="20"/>
              </w:rPr>
            </w:pPr>
            <w:r w:rsidRPr="009F77CD">
              <w:rPr>
                <w:rFonts w:asciiTheme="minorBidi" w:hAnsiTheme="minorBidi"/>
                <w:sz w:val="20"/>
                <w:szCs w:val="20"/>
              </w:rPr>
              <w:t>Dianne Watt (B.Soc.Sci., Post.Grad.Dip. (School Counselling), M.ed. (Ed. Psych.), MAPS) is a registered Psychologist with over 12 years’ experience as a School Counsellor within the NSW Department of Education and Communities. Dianne regularly applies the principles of cross-battery assessment in her practice, and in addition to completing her PhD at Monash University, she regularly supervises research students.</w:t>
            </w:r>
          </w:p>
        </w:tc>
        <w:tc>
          <w:tcPr>
            <w:tcW w:w="1479" w:type="dxa"/>
          </w:tcPr>
          <w:p w:rsidR="009F77CD" w:rsidRPr="009F77CD" w:rsidRDefault="009F77CD" w:rsidP="009F77CD">
            <w:pPr>
              <w:rPr>
                <w:rFonts w:asciiTheme="minorBidi" w:hAnsiTheme="minorBidi"/>
                <w:sz w:val="20"/>
                <w:szCs w:val="20"/>
              </w:rPr>
            </w:pPr>
            <w:r w:rsidRPr="009F77CD">
              <w:rPr>
                <w:rFonts w:asciiTheme="minorBidi" w:hAnsiTheme="minorBidi"/>
                <w:b/>
                <w:bCs/>
                <w:noProof/>
                <w:color w:val="444444"/>
                <w:sz w:val="20"/>
                <w:szCs w:val="20"/>
                <w:lang w:eastAsia="en-AU"/>
              </w:rPr>
              <w:drawing>
                <wp:inline distT="0" distB="0" distL="0" distR="0" wp14:anchorId="40EB5BC1" wp14:editId="202BCB5D">
                  <wp:extent cx="842839" cy="988715"/>
                  <wp:effectExtent l="0" t="0" r="0" b="1905"/>
                  <wp:docPr id="1" name="Picture 1" descr="Di Watt photo_cropp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 Watt photo_cropp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43681" cy="989703"/>
                          </a:xfrm>
                          <a:prstGeom prst="rect">
                            <a:avLst/>
                          </a:prstGeom>
                          <a:noFill/>
                          <a:ln>
                            <a:noFill/>
                          </a:ln>
                        </pic:spPr>
                      </pic:pic>
                    </a:graphicData>
                  </a:graphic>
                </wp:inline>
              </w:drawing>
            </w:r>
          </w:p>
        </w:tc>
      </w:tr>
    </w:tbl>
    <w:p w:rsidR="009F77CD" w:rsidRPr="009F77CD" w:rsidRDefault="009F77CD" w:rsidP="009F77CD">
      <w:pPr>
        <w:jc w:val="center"/>
        <w:rPr>
          <w:rFonts w:asciiTheme="minorBidi" w:hAnsiTheme="minorBidi"/>
          <w:b/>
          <w:bCs/>
          <w:i/>
          <w:iCs/>
          <w:sz w:val="24"/>
          <w:szCs w:val="24"/>
        </w:rPr>
      </w:pPr>
      <w:r>
        <w:rPr>
          <w:rFonts w:asciiTheme="minorBidi" w:hAnsiTheme="minorBidi"/>
          <w:b/>
          <w:bCs/>
          <w:i/>
          <w:iCs/>
          <w:noProof/>
          <w:sz w:val="24"/>
          <w:szCs w:val="24"/>
          <w:lang w:eastAsia="en-AU"/>
        </w:rPr>
        <mc:AlternateContent>
          <mc:Choice Requires="wps">
            <w:drawing>
              <wp:anchor distT="0" distB="0" distL="114300" distR="114300" simplePos="0" relativeHeight="251661312" behindDoc="0" locked="0" layoutInCell="1" allowOverlap="1" wp14:anchorId="47D4890B" wp14:editId="3F9A4596">
                <wp:simplePos x="0" y="0"/>
                <wp:positionH relativeFrom="column">
                  <wp:posOffset>0</wp:posOffset>
                </wp:positionH>
                <wp:positionV relativeFrom="paragraph">
                  <wp:posOffset>220345</wp:posOffset>
                </wp:positionV>
                <wp:extent cx="5772785" cy="723265"/>
                <wp:effectExtent l="0" t="0" r="0" b="635"/>
                <wp:wrapNone/>
                <wp:docPr id="5" name="Rectangle 5"/>
                <wp:cNvGraphicFramePr/>
                <a:graphic xmlns:a="http://schemas.openxmlformats.org/drawingml/2006/main">
                  <a:graphicData uri="http://schemas.microsoft.com/office/word/2010/wordprocessingShape">
                    <wps:wsp>
                      <wps:cNvSpPr/>
                      <wps:spPr>
                        <a:xfrm>
                          <a:off x="0" y="0"/>
                          <a:ext cx="5772785" cy="72326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F77CD" w:rsidRDefault="009F77CD" w:rsidP="009F77CD">
                            <w:pPr>
                              <w:jc w:val="center"/>
                            </w:pPr>
                            <w:r w:rsidRPr="009F77CD">
                              <w:rPr>
                                <w:rFonts w:asciiTheme="minorBidi" w:hAnsiTheme="minorBidi"/>
                                <w:b/>
                                <w:bCs/>
                                <w:i/>
                                <w:iCs/>
                              </w:rPr>
                              <w:t>Together Dianne and Kate have presented workshops on Cattell-Horn-Carroll theory, Cross-Battery Assessment and learning disorder diagnosis to over 150 practising psychologists across four Australian states.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7" style="position:absolute;left:0;text-align:left;margin-left:0;margin-top:17.35pt;width:454.55pt;height:56.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" fillcolor="#4f81bd [3204]" stroked="f" strokeweight="2pt">
                <v:textbox>
                  <w:txbxContent>
                    <w:p w:rsidR="009F77CD" w:rsidRDefault="009F77CD" w:rsidP="009F77CD">
                      <w:pPr>
                        <w:jc w:val="center"/>
                      </w:pPr>
                      <w:r w:rsidRPr="009F77CD">
                        <w:rPr>
                          <w:rFonts w:asciiTheme="minorBidi" w:hAnsiTheme="minorBidi"/>
                          <w:b/>
                          <w:bCs/>
                          <w:i/>
                          <w:iCs/>
                        </w:rPr>
                        <w:t xml:space="preserve">Together Dianne and Kate have presented workshops on </w:t>
                      </w:r>
                      <w:proofErr w:type="spellStart"/>
                      <w:r w:rsidRPr="009F77CD">
                        <w:rPr>
                          <w:rFonts w:asciiTheme="minorBidi" w:hAnsiTheme="minorBidi"/>
                          <w:b/>
                          <w:bCs/>
                          <w:i/>
                          <w:iCs/>
                        </w:rPr>
                        <w:t>Cattell</w:t>
                      </w:r>
                      <w:proofErr w:type="spellEnd"/>
                      <w:r w:rsidRPr="009F77CD">
                        <w:rPr>
                          <w:rFonts w:asciiTheme="minorBidi" w:hAnsiTheme="minorBidi"/>
                          <w:b/>
                          <w:bCs/>
                          <w:i/>
                          <w:iCs/>
                        </w:rPr>
                        <w:t>-Horn-Carroll theory, Cross-Battery Assessment and learning disorder diagnosis to over 150 practising psychologists across four Australian states.</w:t>
                      </w:r>
                    </w:p>
                  </w:txbxContent>
                </v:textbox>
              </v:rect>
            </w:pict>
          </mc:Fallback>
        </mc:AlternateContent>
      </w:r>
    </w:p>
    <w:p w:rsidR="006F3E18" w:rsidRPr="009F77CD" w:rsidRDefault="00C423CF" w:rsidP="009F77CD">
      <w:pPr>
        <w:jc w:val="center"/>
        <w:rPr>
          <w:rFonts w:asciiTheme="minorBidi" w:hAnsiTheme="minorBidi"/>
          <w:b/>
          <w:bCs/>
          <w:i/>
          <w:iCs/>
        </w:rPr>
      </w:pPr>
    </w:p>
    <w:sectPr w:rsidR="006F3E18" w:rsidRPr="009F77CD" w:rsidSect="00C524CF">
      <w:pgSz w:w="11906" w:h="16838"/>
      <w:pgMar w:top="1276"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7CD"/>
    <w:rsid w:val="00121704"/>
    <w:rsid w:val="00590060"/>
    <w:rsid w:val="0071725B"/>
    <w:rsid w:val="009F77CD"/>
    <w:rsid w:val="00A90306"/>
    <w:rsid w:val="00BF1CC7"/>
    <w:rsid w:val="00C423CF"/>
    <w:rsid w:val="00C524CF"/>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77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7CD"/>
    <w:rPr>
      <w:rFonts w:ascii="Tahoma" w:hAnsi="Tahoma" w:cs="Tahoma"/>
      <w:sz w:val="16"/>
      <w:szCs w:val="16"/>
    </w:rPr>
  </w:style>
  <w:style w:type="table" w:styleId="TableGrid">
    <w:name w:val="Table Grid"/>
    <w:basedOn w:val="TableNormal"/>
    <w:uiPriority w:val="59"/>
    <w:rsid w:val="009F77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77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7CD"/>
    <w:rPr>
      <w:rFonts w:ascii="Tahoma" w:hAnsi="Tahoma" w:cs="Tahoma"/>
      <w:sz w:val="16"/>
      <w:szCs w:val="16"/>
    </w:rPr>
  </w:style>
  <w:style w:type="table" w:styleId="TableGrid">
    <w:name w:val="Table Grid"/>
    <w:basedOn w:val="TableNormal"/>
    <w:uiPriority w:val="59"/>
    <w:rsid w:val="009F77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2012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 Jacobs</dc:creator>
  <cp:lastModifiedBy>University of Newcastle</cp:lastModifiedBy>
  <cp:revision>2</cp:revision>
  <dcterms:created xsi:type="dcterms:W3CDTF">2014-08-25T01:16:00Z</dcterms:created>
  <dcterms:modified xsi:type="dcterms:W3CDTF">2014-08-25T01:16:00Z</dcterms:modified>
</cp:coreProperties>
</file>