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B376DF" w14:textId="39B382A2" w:rsidR="0035178A" w:rsidRPr="004B5007" w:rsidRDefault="0035178A" w:rsidP="009C1C41">
      <w:pPr>
        <w:spacing w:after="120" w:line="480" w:lineRule="auto"/>
        <w:rPr>
          <w:rFonts w:ascii="Arial" w:hAnsi="Arial" w:cs="Arial"/>
          <w:b/>
          <w:bCs/>
          <w:sz w:val="22"/>
          <w:szCs w:val="22"/>
        </w:rPr>
      </w:pPr>
      <w:r w:rsidRPr="004B5007">
        <w:rPr>
          <w:rFonts w:ascii="Arial" w:hAnsi="Arial" w:cs="Arial"/>
          <w:b/>
          <w:bCs/>
          <w:sz w:val="22"/>
          <w:szCs w:val="22"/>
        </w:rPr>
        <w:t>M</w:t>
      </w:r>
      <w:r w:rsidR="00942F13" w:rsidRPr="004B5007">
        <w:rPr>
          <w:rFonts w:ascii="Arial" w:hAnsi="Arial" w:cs="Arial"/>
          <w:b/>
          <w:bCs/>
          <w:sz w:val="22"/>
          <w:szCs w:val="22"/>
        </w:rPr>
        <w:t>ETHODS</w:t>
      </w:r>
    </w:p>
    <w:p w14:paraId="7B12B32F" w14:textId="18F919B4" w:rsidR="00880B8D" w:rsidRPr="004B5007" w:rsidRDefault="00880B8D" w:rsidP="009C1C41">
      <w:pPr>
        <w:spacing w:after="120" w:line="480" w:lineRule="auto"/>
        <w:rPr>
          <w:rFonts w:ascii="Arial" w:hAnsi="Arial" w:cs="Arial"/>
          <w:sz w:val="22"/>
          <w:szCs w:val="22"/>
        </w:rPr>
      </w:pPr>
      <w:r w:rsidRPr="004B5007">
        <w:rPr>
          <w:rFonts w:ascii="Arial" w:hAnsi="Arial" w:cs="Arial"/>
          <w:color w:val="3B3B3B"/>
          <w:sz w:val="22"/>
          <w:szCs w:val="22"/>
        </w:rPr>
        <w:t xml:space="preserve">This study </w:t>
      </w:r>
      <w:r w:rsidR="00586B7F" w:rsidRPr="004B5007">
        <w:rPr>
          <w:rFonts w:ascii="Arial" w:hAnsi="Arial" w:cs="Arial"/>
          <w:color w:val="3B3B3B"/>
          <w:sz w:val="22"/>
          <w:szCs w:val="22"/>
        </w:rPr>
        <w:t>use</w:t>
      </w:r>
      <w:r w:rsidR="001C504D" w:rsidRPr="004B5007">
        <w:rPr>
          <w:rFonts w:ascii="Arial" w:hAnsi="Arial" w:cs="Arial"/>
          <w:color w:val="3B3B3B"/>
          <w:sz w:val="22"/>
          <w:szCs w:val="22"/>
        </w:rPr>
        <w:t>d</w:t>
      </w:r>
      <w:r w:rsidR="00586B7F" w:rsidRPr="004B5007">
        <w:rPr>
          <w:rFonts w:ascii="Arial" w:hAnsi="Arial" w:cs="Arial"/>
          <w:color w:val="3B3B3B"/>
          <w:sz w:val="22"/>
          <w:szCs w:val="22"/>
        </w:rPr>
        <w:t xml:space="preserve"> data from mother-child dyads within the </w:t>
      </w:r>
      <w:r w:rsidRPr="004B5007">
        <w:rPr>
          <w:rFonts w:ascii="Arial" w:hAnsi="Arial" w:cs="Arial"/>
          <w:color w:val="3B3B3B"/>
          <w:sz w:val="22"/>
          <w:szCs w:val="22"/>
        </w:rPr>
        <w:t>Family Lifestyle Outcomes Research (</w:t>
      </w:r>
      <w:r w:rsidR="001221C9" w:rsidRPr="004B5007">
        <w:rPr>
          <w:rFonts w:ascii="Arial" w:hAnsi="Arial" w:cs="Arial"/>
          <w:color w:val="3B3B3B"/>
          <w:sz w:val="22"/>
          <w:szCs w:val="22"/>
        </w:rPr>
        <w:t xml:space="preserve">SOL </w:t>
      </w:r>
      <w:r w:rsidRPr="004B5007">
        <w:rPr>
          <w:rFonts w:ascii="Arial" w:hAnsi="Arial" w:cs="Arial"/>
          <w:color w:val="3B3B3B"/>
          <w:sz w:val="22"/>
          <w:szCs w:val="22"/>
        </w:rPr>
        <w:t xml:space="preserve">FLOR) ancillary study of the Hispanic Community Health Study/Study of Latinos (HCHS/SOL). SOL FLOR </w:t>
      </w:r>
      <w:r w:rsidR="001C6491" w:rsidRPr="004B5007">
        <w:rPr>
          <w:rFonts w:ascii="Arial" w:hAnsi="Arial" w:cs="Arial"/>
          <w:color w:val="3B3B3B"/>
          <w:sz w:val="22"/>
          <w:szCs w:val="22"/>
        </w:rPr>
        <w:t>involves</w:t>
      </w:r>
      <w:r w:rsidRPr="004B5007">
        <w:rPr>
          <w:rFonts w:ascii="Arial" w:hAnsi="Arial" w:cs="Arial"/>
          <w:color w:val="3B3B3B"/>
          <w:sz w:val="22"/>
          <w:szCs w:val="22"/>
        </w:rPr>
        <w:t xml:space="preserve"> women who had a first live singleton birth between the baseline visit (2008–2011) and Visit 2 (2014–2017), along with their children, across four U.S. </w:t>
      </w:r>
      <w:r w:rsidR="00FB19B0" w:rsidRPr="004B5007">
        <w:rPr>
          <w:rFonts w:ascii="Arial" w:hAnsi="Arial" w:cs="Arial"/>
          <w:color w:val="3B3B3B"/>
          <w:sz w:val="22"/>
          <w:szCs w:val="22"/>
        </w:rPr>
        <w:t>communities</w:t>
      </w:r>
      <w:r w:rsidRPr="004B5007">
        <w:rPr>
          <w:rFonts w:ascii="Arial" w:hAnsi="Arial" w:cs="Arial"/>
          <w:color w:val="3B3B3B"/>
          <w:sz w:val="22"/>
          <w:szCs w:val="22"/>
        </w:rPr>
        <w:t>: the Bronx, New York; Chicago, Illinois; Miami, Florida; and San Diego, California. The analytic sample was restricted to FLOR dyads with complete child anthropometric</w:t>
      </w:r>
      <w:r w:rsidR="00BB4831" w:rsidRPr="004B5007">
        <w:rPr>
          <w:rFonts w:ascii="Arial" w:hAnsi="Arial" w:cs="Arial"/>
          <w:color w:val="3B3B3B"/>
          <w:sz w:val="22"/>
          <w:szCs w:val="22"/>
        </w:rPr>
        <w:t xml:space="preserve"> measure</w:t>
      </w:r>
      <w:r w:rsidR="00213074" w:rsidRPr="004B5007">
        <w:rPr>
          <w:rFonts w:ascii="Arial" w:hAnsi="Arial" w:cs="Arial"/>
          <w:color w:val="3B3B3B"/>
          <w:sz w:val="22"/>
          <w:szCs w:val="22"/>
        </w:rPr>
        <w:t>s</w:t>
      </w:r>
      <w:r w:rsidRPr="004B5007">
        <w:rPr>
          <w:rFonts w:ascii="Arial" w:hAnsi="Arial" w:cs="Arial"/>
          <w:color w:val="3B3B3B"/>
          <w:sz w:val="22"/>
          <w:szCs w:val="22"/>
        </w:rPr>
        <w:t xml:space="preserve">, yielding a sample of n = 227 participants. Supplemental analyses were conducted among the n = 201 dyads with an observed child BMI polygenic risk score (PRS). </w:t>
      </w:r>
      <w:r w:rsidRPr="004B5007">
        <w:rPr>
          <w:rFonts w:ascii="Arial" w:hAnsi="Arial" w:cs="Arial"/>
          <w:color w:val="3B3B3B"/>
          <w:sz w:val="22"/>
          <w:szCs w:val="22"/>
          <w:highlight w:val="yellow"/>
        </w:rPr>
        <w:t>The inclusion and exclusion criteria are detailed in the Appendix.</w:t>
      </w:r>
    </w:p>
    <w:p w14:paraId="0BC4B051" w14:textId="4D957E14" w:rsidR="006E0642" w:rsidRPr="004B5007" w:rsidRDefault="00C126F0" w:rsidP="009C1C41">
      <w:pPr>
        <w:spacing w:after="120" w:line="480" w:lineRule="auto"/>
        <w:ind w:firstLine="720"/>
        <w:rPr>
          <w:rFonts w:ascii="Arial" w:hAnsi="Arial" w:cs="Arial"/>
          <w:b/>
          <w:bCs/>
          <w:sz w:val="22"/>
          <w:szCs w:val="22"/>
        </w:rPr>
      </w:pPr>
      <w:r w:rsidRPr="004B5007">
        <w:rPr>
          <w:rFonts w:ascii="Arial" w:hAnsi="Arial" w:cs="Arial"/>
          <w:b/>
          <w:bCs/>
          <w:sz w:val="22"/>
          <w:szCs w:val="22"/>
        </w:rPr>
        <w:t xml:space="preserve">Statistical Analysis </w:t>
      </w:r>
    </w:p>
    <w:p w14:paraId="05868B05" w14:textId="33192A24" w:rsidR="00545598" w:rsidRPr="004B5007" w:rsidRDefault="00545598" w:rsidP="009C1C41">
      <w:pPr>
        <w:pStyle w:val="code-line"/>
        <w:spacing w:before="0" w:beforeAutospacing="0" w:after="240" w:afterAutospacing="0" w:line="480" w:lineRule="auto"/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</w:pP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Maternal preconception and child characteristics were </w:t>
      </w:r>
      <w:r w:rsidR="00510639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summarized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for</w:t>
      </w:r>
      <w:r w:rsidR="0083489F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</w:t>
      </w:r>
      <w:r w:rsidR="0045497A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both 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FLOR dyads with complete child anthropometry and</w:t>
      </w:r>
      <w:r w:rsidR="00C16CD4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non-FLOR participants or those with incomplete anthropometry. </w:t>
      </w:r>
      <w:r w:rsidR="00D85446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Means, frequencies, and standard deviations </w:t>
      </w:r>
      <w:r w:rsidR="00B245F3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were</w:t>
      </w:r>
      <w:r w:rsidR="00D85446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</w:t>
      </w:r>
      <w:r w:rsidR="00B245F3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derived</w:t>
      </w:r>
      <w:r w:rsidR="00E35DC7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and</w:t>
      </w:r>
      <w:r w:rsidR="00D85446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</w:t>
      </w:r>
      <w:r w:rsidR="00E35DC7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c</w:t>
      </w:r>
      <w:r w:rsidR="00D85446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hi-square tests and one-way ANOVAs were used to compare group distributions. The sampling design was not considered during </w:t>
      </w:r>
      <w:r w:rsidR="00AE0C34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this and any subsequent</w:t>
      </w:r>
      <w:r w:rsidR="00D85446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analysis given the</w:t>
      </w:r>
      <w:r w:rsidR="00F86D63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</w:t>
      </w:r>
      <w:r w:rsidR="00D85446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sample size.</w:t>
      </w:r>
    </w:p>
    <w:p w14:paraId="1777701F" w14:textId="19E32E84" w:rsidR="009E1E3B" w:rsidRPr="004B5007" w:rsidRDefault="00545598" w:rsidP="009C1C41">
      <w:pPr>
        <w:pStyle w:val="code-line"/>
        <w:spacing w:before="0" w:beforeAutospacing="0" w:after="240" w:afterAutospacing="0" w:line="480" w:lineRule="auto"/>
        <w:rPr>
          <w:rFonts w:ascii="Arial" w:hAnsi="Arial" w:cs="Arial"/>
          <w:sz w:val="22"/>
          <w:szCs w:val="22"/>
        </w:rPr>
      </w:pP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The primary outcome</w:t>
      </w:r>
      <w:r w:rsidR="00D00F8D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of inter</w:t>
      </w:r>
      <w:r w:rsidR="00B71B15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e</w:t>
      </w:r>
      <w:r w:rsidR="00D00F8D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st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</w:t>
      </w:r>
      <w:r w:rsidR="00B71B15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w</w:t>
      </w:r>
      <w:r w:rsidR="001238C3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a</w:t>
      </w:r>
      <w:r w:rsidR="008E40FC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s 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the child's BMI z-score, a measure of BMI standardized for age and sex. As a supplemental analysis, associations were also examined </w:t>
      </w:r>
      <w:r w:rsidR="00881052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using</w:t>
      </w:r>
      <w:r w:rsidR="00845CB8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the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</w:t>
      </w:r>
      <w:r w:rsidR="00F0350B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childbirth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weight-for-gestational-age z-score.</w:t>
      </w:r>
      <w:r w:rsidR="00EC4D61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Maternal preconception socio-behavioral </w:t>
      </w:r>
      <w:r w:rsidR="00052888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covariates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were </w:t>
      </w:r>
      <w:r w:rsidR="00836D48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grou</w:t>
      </w:r>
      <w:r w:rsidR="00CD5FFB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p</w:t>
      </w:r>
      <w:r w:rsidR="00836D48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ed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</w:t>
      </w:r>
      <w:r w:rsidR="002B0BF7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as follows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: (1) sociodemographic and acculturation characteristics, including Hispanic/Latino background, maternal age, parity, education, employment, marital status, health insurance, years in the United States</w:t>
      </w:r>
      <w:r w:rsidR="0053175A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;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(2) health behaviors, including </w:t>
      </w:r>
      <w:r w:rsidR="008F3F15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smoking status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, alcohol use, diet quality (Healthy Eating Index 2010, categorized into tertiles), physical activity (meeting the 2008 Physical Activity Guidelines</w:t>
      </w:r>
      <w:r w:rsidR="00EF2D03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</w:t>
      </w:r>
      <w:r w:rsidR="008F3F15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based on</w:t>
      </w:r>
      <w:r w:rsidR="00EF2D03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actical data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), and sleep duration; and (3) mental 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lastRenderedPageBreak/>
        <w:t xml:space="preserve">health, including </w:t>
      </w:r>
      <w:r w:rsidR="009C7815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self-reported 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depressive symptoms (CESD-10) and anxiety symptoms (STAI-10). The child's BMI PRS was included as an additional </w:t>
      </w:r>
      <w:r w:rsidR="008F6214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covariate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to account for genetic predisposition to adiposity</w:t>
      </w:r>
      <w:r w:rsidR="00EE173B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. </w:t>
      </w:r>
      <w:r w:rsidR="009E1E3B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All models were adjusted for field center and the time elapsed between the HCHS/SOL baseline and FLOR visits.</w:t>
      </w:r>
      <w:r w:rsidR="00881D45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</w:t>
      </w:r>
    </w:p>
    <w:p w14:paraId="79799298" w14:textId="219F7A21" w:rsidR="00545598" w:rsidRDefault="00545598" w:rsidP="009C1C41">
      <w:pPr>
        <w:pStyle w:val="code-line"/>
        <w:spacing w:before="0" w:beforeAutospacing="0" w:after="240" w:afterAutospacing="0" w:line="480" w:lineRule="auto"/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</w:pP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Missing values in covariates and outcomes were </w:t>
      </w:r>
      <w:r w:rsidR="002D6B3A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handled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</w:t>
      </w:r>
      <w:r w:rsidR="004C39DA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using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multiple imputation</w:t>
      </w:r>
      <w:r w:rsidR="00011239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,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</w:t>
      </w:r>
      <w:r w:rsidR="00F21B9F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specifically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the fully conditional specification </w:t>
      </w:r>
      <w:r w:rsidR="00EE6F9A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(FCS) </w:t>
      </w:r>
      <w:commentRangeStart w:id="0"/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approach</w:t>
      </w:r>
      <w:commentRangeEnd w:id="0"/>
      <w:r w:rsidR="005D14E7" w:rsidRPr="004B5007">
        <w:rPr>
          <w:rStyle w:val="CommentReference"/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commentReference w:id="0"/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, generating 10 imputed datasets. The imputation model included all outcome</w:t>
      </w:r>
      <w:r w:rsidR="00E2110C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s and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study covariates. Continuous variables were imputed using linear regression; binary variables using logistic regression; and nominal or ordinal variables using polytomous logistic regression.</w:t>
      </w:r>
      <w:r w:rsidR="00712C5D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C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hild anthropometric measurements and BMI were not imputed.</w:t>
      </w:r>
    </w:p>
    <w:p w14:paraId="457692ED" w14:textId="4CCB5056" w:rsidR="00881D45" w:rsidRPr="004B5007" w:rsidRDefault="00881D45" w:rsidP="009C1C41">
      <w:pPr>
        <w:pStyle w:val="code-line"/>
        <w:spacing w:before="0" w:beforeAutospacing="0" w:after="240" w:afterAutospacing="0" w:line="480" w:lineRule="auto"/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</w:pP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Associations between maternal preconception socio-behavioral factors and each child weight outcome were estimated from generalized linear models fit separately within each imputed dataset and pooled using </w:t>
      </w:r>
      <w:commentRangeStart w:id="1"/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Rubin's rules</w:t>
      </w:r>
      <w:commentRangeEnd w:id="1"/>
      <w:r w:rsidR="005D14E7" w:rsidRPr="004B5007">
        <w:rPr>
          <w:rStyle w:val="CommentReference"/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commentReference w:id="1"/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. Four nested models were built: Model 1 included sociodemographic and acculturation </w:t>
      </w:r>
      <w:r w:rsidR="00BC3B36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covariates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; Model 2 added health behavior </w:t>
      </w:r>
      <w:r w:rsidR="009F3D91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covariates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; Model 3 further added mental health </w:t>
      </w:r>
      <w:r w:rsidR="00523464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covariates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; and Model 4 added the child's BMI polygenic risk score.</w:t>
      </w:r>
    </w:p>
    <w:p w14:paraId="4BCA09DB" w14:textId="4F5D46DF" w:rsidR="00163C47" w:rsidRDefault="00545598" w:rsidP="009C1C41">
      <w:pPr>
        <w:pStyle w:val="code-line"/>
        <w:spacing w:before="0" w:beforeAutospacing="0" w:after="240" w:afterAutospacing="0" w:line="480" w:lineRule="auto"/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</w:pP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For continuous outcomes (BMI z-score, and birth weight z-score), a normal distribution was assumed and results are reported as regression coefficients (β) and standard errors (SE). The proportion of variance explained by each </w:t>
      </w:r>
      <w:r w:rsidR="00052888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covariate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in the fully adjusted model was quantified using partial R². For the three-level BMI category outcome, a multinomial logistic model was fit with normal weight as the reference category. Supplemental analyses repeated all </w:t>
      </w:r>
      <w:r w:rsidR="004E05FD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referenced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models in the PRS-complete </w:t>
      </w:r>
      <w:r w:rsidR="00DE5D5D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dataset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(n = 201).</w:t>
      </w:r>
      <w:r w:rsidR="00A723B6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 xml:space="preserve"> 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Statistical significance was considered at the 0.05 level. All analyses were conducted in SAS version 9.</w:t>
      </w:r>
      <w:r w:rsidR="00B12B2D"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4</w:t>
      </w:r>
      <w:r w:rsidRPr="004B5007">
        <w:rPr>
          <w:rFonts w:ascii="Arial" w:eastAsiaTheme="minorHAnsi" w:hAnsi="Arial" w:cs="Arial"/>
          <w:color w:val="3B3B3B"/>
          <w:kern w:val="2"/>
          <w:sz w:val="22"/>
          <w:szCs w:val="22"/>
          <w14:ligatures w14:val="standardContextual"/>
        </w:rPr>
        <w:t>.</w:t>
      </w:r>
    </w:p>
    <w:p w14:paraId="5B22531C" w14:textId="35760FDD" w:rsidR="00D84A85" w:rsidRPr="004B5007" w:rsidRDefault="00D84A85" w:rsidP="00E5659B">
      <w:pPr>
        <w:pStyle w:val="Bibliography"/>
        <w:spacing w:line="480" w:lineRule="auto"/>
        <w:ind w:left="0" w:firstLine="0"/>
        <w:rPr>
          <w:rFonts w:ascii="Arial" w:hAnsi="Arial" w:cs="Arial"/>
          <w:color w:val="3B3B3B"/>
          <w:sz w:val="22"/>
          <w:szCs w:val="22"/>
        </w:rPr>
      </w:pPr>
    </w:p>
    <w:sectPr w:rsidR="00D84A85" w:rsidRPr="004B5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lvaro Clemente Quijano Angarita" w:date="2026-06-18T07:42:00Z" w:initials="AQ">
    <w:p w14:paraId="082FB8BE" w14:textId="77777777" w:rsidR="005D14E7" w:rsidRDefault="005D14E7" w:rsidP="005D14E7">
      <w:r>
        <w:rPr>
          <w:rStyle w:val="CommentReference"/>
        </w:rPr>
        <w:annotationRef/>
      </w:r>
      <w:r>
        <w:rPr>
          <w:sz w:val="20"/>
          <w:szCs w:val="20"/>
        </w:rPr>
        <w:t>            Raghunathan TE, Lepkowski JM, Van Hoewyk J, Solenberger P, others. A multivariate technique for multiply imputing missing values using a sequence of regression models. Surv Methodol. 2001;27(1):85-96.</w:t>
      </w:r>
    </w:p>
    <w:p w14:paraId="07A26CF7" w14:textId="77777777" w:rsidR="005D14E7" w:rsidRDefault="005D14E7" w:rsidP="005D14E7"/>
  </w:comment>
  <w:comment w:id="1" w:author="Alvaro Clemente Quijano Angarita" w:date="2026-06-18T07:42:00Z" w:initials="AQ">
    <w:p w14:paraId="566B2FAF" w14:textId="77777777" w:rsidR="005D14E7" w:rsidRDefault="005D14E7" w:rsidP="005D14E7">
      <w:r>
        <w:rPr>
          <w:rStyle w:val="CommentReference"/>
        </w:rPr>
        <w:annotationRef/>
      </w:r>
      <w:r>
        <w:rPr>
          <w:sz w:val="20"/>
          <w:szCs w:val="20"/>
        </w:rPr>
        <w:t>Rubin DB. Multiple Imputation for Nonresponse in Surveys. John Wiley &amp; Sons; 1987. doi:10.1002/9780470316696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7A26CF7" w15:done="0"/>
  <w15:commentEx w15:paraId="566B2FA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A073C51" w16cex:dateUtc="2026-06-18T11:42:00Z"/>
  <w16cex:commentExtensible w16cex:durableId="376AFD86" w16cex:dateUtc="2026-06-18T11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7A26CF7" w16cid:durableId="0A073C51"/>
  <w16cid:commentId w16cid:paraId="566B2FAF" w16cid:durableId="376AFD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lvaro Clemente Quijano Angarita">
    <w15:presenceInfo w15:providerId="AD" w15:userId="S::acquijanoa@dane.gov.co::4ee99dee-cc45-497c-8ae7-e249266ac0b1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New England J Medicine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d5aavvwnawvadevsr4pwwdzva59e90w2fd2&quot;&gt;My EndNote Library_Updated 11-1 for New PC&lt;record-ids&gt;&lt;item&gt;41&lt;/item&gt;&lt;item&gt;314&lt;/item&gt;&lt;item&gt;447&lt;/item&gt;&lt;item&gt;471&lt;/item&gt;&lt;item&gt;484&lt;/item&gt;&lt;item&gt;491&lt;/item&gt;&lt;item&gt;712&lt;/item&gt;&lt;item&gt;714&lt;/item&gt;&lt;item&gt;717&lt;/item&gt;&lt;item&gt;718&lt;/item&gt;&lt;item&gt;726&lt;/item&gt;&lt;item&gt;730&lt;/item&gt;&lt;item&gt;732&lt;/item&gt;&lt;item&gt;734&lt;/item&gt;&lt;item&gt;735&lt;/item&gt;&lt;item&gt;736&lt;/item&gt;&lt;item&gt;737&lt;/item&gt;&lt;item&gt;738&lt;/item&gt;&lt;item&gt;740&lt;/item&gt;&lt;item&gt;742&lt;/item&gt;&lt;item&gt;743&lt;/item&gt;&lt;item&gt;746&lt;/item&gt;&lt;item&gt;748&lt;/item&gt;&lt;item&gt;756&lt;/item&gt;&lt;item&gt;790&lt;/item&gt;&lt;item&gt;804&lt;/item&gt;&lt;item&gt;815&lt;/item&gt;&lt;item&gt;816&lt;/item&gt;&lt;item&gt;846&lt;/item&gt;&lt;item&gt;851&lt;/item&gt;&lt;item&gt;852&lt;/item&gt;&lt;item&gt;853&lt;/item&gt;&lt;item&gt;857&lt;/item&gt;&lt;item&gt;862&lt;/item&gt;&lt;item&gt;866&lt;/item&gt;&lt;/record-ids&gt;&lt;/item&gt;&lt;/Libraries&gt;"/>
  </w:docVars>
  <w:rsids>
    <w:rsidRoot w:val="007B229B"/>
    <w:rsid w:val="00005305"/>
    <w:rsid w:val="00006C2A"/>
    <w:rsid w:val="000072E7"/>
    <w:rsid w:val="000108D0"/>
    <w:rsid w:val="00011239"/>
    <w:rsid w:val="0001647E"/>
    <w:rsid w:val="00020198"/>
    <w:rsid w:val="0002390E"/>
    <w:rsid w:val="00024FAA"/>
    <w:rsid w:val="000255D6"/>
    <w:rsid w:val="00026847"/>
    <w:rsid w:val="00035137"/>
    <w:rsid w:val="00036634"/>
    <w:rsid w:val="00036F97"/>
    <w:rsid w:val="0004712B"/>
    <w:rsid w:val="00050F0F"/>
    <w:rsid w:val="00052888"/>
    <w:rsid w:val="000549D0"/>
    <w:rsid w:val="00054E8E"/>
    <w:rsid w:val="00055276"/>
    <w:rsid w:val="0005716C"/>
    <w:rsid w:val="000625C6"/>
    <w:rsid w:val="00071D23"/>
    <w:rsid w:val="00074D38"/>
    <w:rsid w:val="000761A9"/>
    <w:rsid w:val="00081006"/>
    <w:rsid w:val="00081B7E"/>
    <w:rsid w:val="00082739"/>
    <w:rsid w:val="000914C9"/>
    <w:rsid w:val="000948B2"/>
    <w:rsid w:val="000A10B7"/>
    <w:rsid w:val="000A2421"/>
    <w:rsid w:val="000A31F2"/>
    <w:rsid w:val="000A3A81"/>
    <w:rsid w:val="000A4226"/>
    <w:rsid w:val="000A7B85"/>
    <w:rsid w:val="000B1A1F"/>
    <w:rsid w:val="000B2802"/>
    <w:rsid w:val="000B3ACF"/>
    <w:rsid w:val="000B7066"/>
    <w:rsid w:val="000C4C84"/>
    <w:rsid w:val="000C5F09"/>
    <w:rsid w:val="000C747C"/>
    <w:rsid w:val="000D3672"/>
    <w:rsid w:val="000D6923"/>
    <w:rsid w:val="000D7870"/>
    <w:rsid w:val="000E6E45"/>
    <w:rsid w:val="000E70D5"/>
    <w:rsid w:val="000F1102"/>
    <w:rsid w:val="000F7A3D"/>
    <w:rsid w:val="00102CBD"/>
    <w:rsid w:val="0010401A"/>
    <w:rsid w:val="00105049"/>
    <w:rsid w:val="00112187"/>
    <w:rsid w:val="00112DB7"/>
    <w:rsid w:val="00113F86"/>
    <w:rsid w:val="0012075B"/>
    <w:rsid w:val="001221C9"/>
    <w:rsid w:val="001238C3"/>
    <w:rsid w:val="001264BF"/>
    <w:rsid w:val="00134708"/>
    <w:rsid w:val="00141808"/>
    <w:rsid w:val="001445DA"/>
    <w:rsid w:val="001464C5"/>
    <w:rsid w:val="00152AC5"/>
    <w:rsid w:val="00154F7C"/>
    <w:rsid w:val="00163C47"/>
    <w:rsid w:val="0016523F"/>
    <w:rsid w:val="00165796"/>
    <w:rsid w:val="001677D5"/>
    <w:rsid w:val="001728E5"/>
    <w:rsid w:val="00175B5C"/>
    <w:rsid w:val="001803F7"/>
    <w:rsid w:val="0018139A"/>
    <w:rsid w:val="00181685"/>
    <w:rsid w:val="00186785"/>
    <w:rsid w:val="00186A2D"/>
    <w:rsid w:val="001877BD"/>
    <w:rsid w:val="001878EA"/>
    <w:rsid w:val="001941F8"/>
    <w:rsid w:val="00195923"/>
    <w:rsid w:val="001A1A0F"/>
    <w:rsid w:val="001A1B1D"/>
    <w:rsid w:val="001A37FB"/>
    <w:rsid w:val="001B74A1"/>
    <w:rsid w:val="001C09F5"/>
    <w:rsid w:val="001C15F8"/>
    <w:rsid w:val="001C1A32"/>
    <w:rsid w:val="001C504D"/>
    <w:rsid w:val="001C6491"/>
    <w:rsid w:val="001C7825"/>
    <w:rsid w:val="001D1891"/>
    <w:rsid w:val="001D580A"/>
    <w:rsid w:val="001D7271"/>
    <w:rsid w:val="001E2DAB"/>
    <w:rsid w:val="001F04C3"/>
    <w:rsid w:val="001F3D4A"/>
    <w:rsid w:val="0020143A"/>
    <w:rsid w:val="00203C1B"/>
    <w:rsid w:val="002046B3"/>
    <w:rsid w:val="0020554E"/>
    <w:rsid w:val="00213074"/>
    <w:rsid w:val="0021371C"/>
    <w:rsid w:val="00214B26"/>
    <w:rsid w:val="0021648D"/>
    <w:rsid w:val="00225019"/>
    <w:rsid w:val="0023363A"/>
    <w:rsid w:val="00235B3E"/>
    <w:rsid w:val="00241431"/>
    <w:rsid w:val="00243707"/>
    <w:rsid w:val="002601D9"/>
    <w:rsid w:val="00261ACA"/>
    <w:rsid w:val="00262C3C"/>
    <w:rsid w:val="00262FA4"/>
    <w:rsid w:val="002640F5"/>
    <w:rsid w:val="00273A9D"/>
    <w:rsid w:val="00274A06"/>
    <w:rsid w:val="00274C0D"/>
    <w:rsid w:val="00275FC5"/>
    <w:rsid w:val="00276257"/>
    <w:rsid w:val="00281997"/>
    <w:rsid w:val="00294BBF"/>
    <w:rsid w:val="00295660"/>
    <w:rsid w:val="0029602B"/>
    <w:rsid w:val="002A0812"/>
    <w:rsid w:val="002A105A"/>
    <w:rsid w:val="002A3424"/>
    <w:rsid w:val="002A3E51"/>
    <w:rsid w:val="002A4A63"/>
    <w:rsid w:val="002B0BF7"/>
    <w:rsid w:val="002B4A43"/>
    <w:rsid w:val="002B74F2"/>
    <w:rsid w:val="002C0932"/>
    <w:rsid w:val="002C42F7"/>
    <w:rsid w:val="002C4CAE"/>
    <w:rsid w:val="002C7E07"/>
    <w:rsid w:val="002D6B3A"/>
    <w:rsid w:val="002D718E"/>
    <w:rsid w:val="002E5121"/>
    <w:rsid w:val="002F2CCB"/>
    <w:rsid w:val="002F4BF3"/>
    <w:rsid w:val="002F5331"/>
    <w:rsid w:val="002F58CC"/>
    <w:rsid w:val="002F654C"/>
    <w:rsid w:val="00302573"/>
    <w:rsid w:val="003025C0"/>
    <w:rsid w:val="00303C13"/>
    <w:rsid w:val="00314B60"/>
    <w:rsid w:val="0031622F"/>
    <w:rsid w:val="00320E92"/>
    <w:rsid w:val="00333967"/>
    <w:rsid w:val="003377C0"/>
    <w:rsid w:val="00340A7F"/>
    <w:rsid w:val="003469D7"/>
    <w:rsid w:val="0035178A"/>
    <w:rsid w:val="003541CC"/>
    <w:rsid w:val="00355078"/>
    <w:rsid w:val="00360106"/>
    <w:rsid w:val="00364B98"/>
    <w:rsid w:val="00371B54"/>
    <w:rsid w:val="00382255"/>
    <w:rsid w:val="003832CF"/>
    <w:rsid w:val="00391BED"/>
    <w:rsid w:val="003A1092"/>
    <w:rsid w:val="003A5FC0"/>
    <w:rsid w:val="003C1815"/>
    <w:rsid w:val="003C2B6E"/>
    <w:rsid w:val="003C4469"/>
    <w:rsid w:val="003D59D4"/>
    <w:rsid w:val="003D716C"/>
    <w:rsid w:val="003E136A"/>
    <w:rsid w:val="003E2562"/>
    <w:rsid w:val="003E3B22"/>
    <w:rsid w:val="003E6AE2"/>
    <w:rsid w:val="003E7A91"/>
    <w:rsid w:val="003F5CF5"/>
    <w:rsid w:val="003F7AC9"/>
    <w:rsid w:val="00405E9E"/>
    <w:rsid w:val="004064A1"/>
    <w:rsid w:val="00413EDC"/>
    <w:rsid w:val="004222D7"/>
    <w:rsid w:val="004228FF"/>
    <w:rsid w:val="00423369"/>
    <w:rsid w:val="004234F0"/>
    <w:rsid w:val="00423AC8"/>
    <w:rsid w:val="00424179"/>
    <w:rsid w:val="00433E5B"/>
    <w:rsid w:val="00435051"/>
    <w:rsid w:val="004442AF"/>
    <w:rsid w:val="0045153B"/>
    <w:rsid w:val="0045497A"/>
    <w:rsid w:val="00463454"/>
    <w:rsid w:val="00463549"/>
    <w:rsid w:val="00463A18"/>
    <w:rsid w:val="00463D03"/>
    <w:rsid w:val="004676C2"/>
    <w:rsid w:val="004708B5"/>
    <w:rsid w:val="00472E9F"/>
    <w:rsid w:val="00474E85"/>
    <w:rsid w:val="00475C77"/>
    <w:rsid w:val="00476103"/>
    <w:rsid w:val="00485DF4"/>
    <w:rsid w:val="00490107"/>
    <w:rsid w:val="0049048C"/>
    <w:rsid w:val="00490E6D"/>
    <w:rsid w:val="00491FC7"/>
    <w:rsid w:val="00492ADC"/>
    <w:rsid w:val="0049336D"/>
    <w:rsid w:val="004B0A31"/>
    <w:rsid w:val="004B28CA"/>
    <w:rsid w:val="004B40FE"/>
    <w:rsid w:val="004B5007"/>
    <w:rsid w:val="004C0151"/>
    <w:rsid w:val="004C3099"/>
    <w:rsid w:val="004C39DA"/>
    <w:rsid w:val="004C70FC"/>
    <w:rsid w:val="004D1030"/>
    <w:rsid w:val="004D110B"/>
    <w:rsid w:val="004D223A"/>
    <w:rsid w:val="004D23CD"/>
    <w:rsid w:val="004E05FD"/>
    <w:rsid w:val="004E3C7C"/>
    <w:rsid w:val="004E51D0"/>
    <w:rsid w:val="004F37B3"/>
    <w:rsid w:val="004F569A"/>
    <w:rsid w:val="005070F9"/>
    <w:rsid w:val="00510639"/>
    <w:rsid w:val="00511691"/>
    <w:rsid w:val="00511AA3"/>
    <w:rsid w:val="00512B2A"/>
    <w:rsid w:val="00512FE4"/>
    <w:rsid w:val="005136C4"/>
    <w:rsid w:val="005230A7"/>
    <w:rsid w:val="00523464"/>
    <w:rsid w:val="005265D4"/>
    <w:rsid w:val="0053175A"/>
    <w:rsid w:val="00534D1C"/>
    <w:rsid w:val="00536CDD"/>
    <w:rsid w:val="00541998"/>
    <w:rsid w:val="00544973"/>
    <w:rsid w:val="00545598"/>
    <w:rsid w:val="00550892"/>
    <w:rsid w:val="00551131"/>
    <w:rsid w:val="00553036"/>
    <w:rsid w:val="005568F0"/>
    <w:rsid w:val="005620F9"/>
    <w:rsid w:val="00564582"/>
    <w:rsid w:val="00565E1C"/>
    <w:rsid w:val="0056631B"/>
    <w:rsid w:val="00567EB5"/>
    <w:rsid w:val="00572361"/>
    <w:rsid w:val="00572E07"/>
    <w:rsid w:val="005730C6"/>
    <w:rsid w:val="005735D6"/>
    <w:rsid w:val="005855B1"/>
    <w:rsid w:val="00586A52"/>
    <w:rsid w:val="00586B7F"/>
    <w:rsid w:val="0059210A"/>
    <w:rsid w:val="005924BD"/>
    <w:rsid w:val="00593294"/>
    <w:rsid w:val="0059363A"/>
    <w:rsid w:val="005A0E64"/>
    <w:rsid w:val="005A146D"/>
    <w:rsid w:val="005A4213"/>
    <w:rsid w:val="005A50C6"/>
    <w:rsid w:val="005B24B9"/>
    <w:rsid w:val="005B4D66"/>
    <w:rsid w:val="005C6C17"/>
    <w:rsid w:val="005D0128"/>
    <w:rsid w:val="005D0BEC"/>
    <w:rsid w:val="005D14E7"/>
    <w:rsid w:val="005E1896"/>
    <w:rsid w:val="005E38A1"/>
    <w:rsid w:val="005F2298"/>
    <w:rsid w:val="005F2D72"/>
    <w:rsid w:val="005F3EAF"/>
    <w:rsid w:val="005F79FE"/>
    <w:rsid w:val="00601C95"/>
    <w:rsid w:val="006070C6"/>
    <w:rsid w:val="00611435"/>
    <w:rsid w:val="00613979"/>
    <w:rsid w:val="00615D9D"/>
    <w:rsid w:val="006161EB"/>
    <w:rsid w:val="0062173F"/>
    <w:rsid w:val="00622058"/>
    <w:rsid w:val="00624ACB"/>
    <w:rsid w:val="006427E4"/>
    <w:rsid w:val="00644B46"/>
    <w:rsid w:val="00645CC4"/>
    <w:rsid w:val="00646CAD"/>
    <w:rsid w:val="006510FD"/>
    <w:rsid w:val="00655259"/>
    <w:rsid w:val="006554D7"/>
    <w:rsid w:val="00657F18"/>
    <w:rsid w:val="006611B1"/>
    <w:rsid w:val="00661EFF"/>
    <w:rsid w:val="00662186"/>
    <w:rsid w:val="00665636"/>
    <w:rsid w:val="00667B36"/>
    <w:rsid w:val="006744FB"/>
    <w:rsid w:val="0067528A"/>
    <w:rsid w:val="006847AA"/>
    <w:rsid w:val="006912FE"/>
    <w:rsid w:val="00694758"/>
    <w:rsid w:val="00695F9A"/>
    <w:rsid w:val="006A3BE2"/>
    <w:rsid w:val="006A529C"/>
    <w:rsid w:val="006B3EE6"/>
    <w:rsid w:val="006B40B6"/>
    <w:rsid w:val="006B702A"/>
    <w:rsid w:val="006C0FBA"/>
    <w:rsid w:val="006C121F"/>
    <w:rsid w:val="006D0B33"/>
    <w:rsid w:val="006D35E3"/>
    <w:rsid w:val="006E02EF"/>
    <w:rsid w:val="006E0642"/>
    <w:rsid w:val="006E1C55"/>
    <w:rsid w:val="006E40A8"/>
    <w:rsid w:val="006F10D8"/>
    <w:rsid w:val="006F1316"/>
    <w:rsid w:val="006F752E"/>
    <w:rsid w:val="00701598"/>
    <w:rsid w:val="007025B8"/>
    <w:rsid w:val="00710054"/>
    <w:rsid w:val="00712C5D"/>
    <w:rsid w:val="00716B7D"/>
    <w:rsid w:val="00721DED"/>
    <w:rsid w:val="007228B9"/>
    <w:rsid w:val="00723F2C"/>
    <w:rsid w:val="00730AD8"/>
    <w:rsid w:val="0073643A"/>
    <w:rsid w:val="0074141F"/>
    <w:rsid w:val="007427CE"/>
    <w:rsid w:val="0074385A"/>
    <w:rsid w:val="00745228"/>
    <w:rsid w:val="007477E3"/>
    <w:rsid w:val="00757DFF"/>
    <w:rsid w:val="0076186A"/>
    <w:rsid w:val="007622EA"/>
    <w:rsid w:val="00765303"/>
    <w:rsid w:val="0076790D"/>
    <w:rsid w:val="007715C4"/>
    <w:rsid w:val="007733B7"/>
    <w:rsid w:val="0077354F"/>
    <w:rsid w:val="007740E9"/>
    <w:rsid w:val="007766CB"/>
    <w:rsid w:val="007770EA"/>
    <w:rsid w:val="00780FCB"/>
    <w:rsid w:val="00785A84"/>
    <w:rsid w:val="007917B7"/>
    <w:rsid w:val="007947DF"/>
    <w:rsid w:val="00796384"/>
    <w:rsid w:val="00796481"/>
    <w:rsid w:val="007A24F6"/>
    <w:rsid w:val="007A6CFF"/>
    <w:rsid w:val="007B01C6"/>
    <w:rsid w:val="007B229B"/>
    <w:rsid w:val="007B61F2"/>
    <w:rsid w:val="007C4047"/>
    <w:rsid w:val="007D4AF5"/>
    <w:rsid w:val="007D5149"/>
    <w:rsid w:val="007D52E7"/>
    <w:rsid w:val="007D7D30"/>
    <w:rsid w:val="007E1B82"/>
    <w:rsid w:val="007E31D9"/>
    <w:rsid w:val="007F2B82"/>
    <w:rsid w:val="00806784"/>
    <w:rsid w:val="008162FE"/>
    <w:rsid w:val="00822628"/>
    <w:rsid w:val="00822951"/>
    <w:rsid w:val="00831B71"/>
    <w:rsid w:val="0083489F"/>
    <w:rsid w:val="00836D48"/>
    <w:rsid w:val="00837EA8"/>
    <w:rsid w:val="00845CB8"/>
    <w:rsid w:val="008524D4"/>
    <w:rsid w:val="00857365"/>
    <w:rsid w:val="0086603D"/>
    <w:rsid w:val="00867961"/>
    <w:rsid w:val="00870400"/>
    <w:rsid w:val="008713AE"/>
    <w:rsid w:val="008735D7"/>
    <w:rsid w:val="00873996"/>
    <w:rsid w:val="00880B8D"/>
    <w:rsid w:val="00881052"/>
    <w:rsid w:val="00881D45"/>
    <w:rsid w:val="0088419B"/>
    <w:rsid w:val="008A5F41"/>
    <w:rsid w:val="008A6514"/>
    <w:rsid w:val="008A6742"/>
    <w:rsid w:val="008B110B"/>
    <w:rsid w:val="008B6C5B"/>
    <w:rsid w:val="008C137F"/>
    <w:rsid w:val="008C2A0B"/>
    <w:rsid w:val="008C5251"/>
    <w:rsid w:val="008C54B8"/>
    <w:rsid w:val="008C63E3"/>
    <w:rsid w:val="008C743A"/>
    <w:rsid w:val="008D11C9"/>
    <w:rsid w:val="008D401D"/>
    <w:rsid w:val="008D78B4"/>
    <w:rsid w:val="008E24BC"/>
    <w:rsid w:val="008E3439"/>
    <w:rsid w:val="008E40FC"/>
    <w:rsid w:val="008F05ED"/>
    <w:rsid w:val="008F0D47"/>
    <w:rsid w:val="008F1A2B"/>
    <w:rsid w:val="008F20F9"/>
    <w:rsid w:val="008F3238"/>
    <w:rsid w:val="008F3F15"/>
    <w:rsid w:val="008F6214"/>
    <w:rsid w:val="0090257D"/>
    <w:rsid w:val="009066DC"/>
    <w:rsid w:val="00907946"/>
    <w:rsid w:val="009108F5"/>
    <w:rsid w:val="00911C18"/>
    <w:rsid w:val="009173A4"/>
    <w:rsid w:val="0092474D"/>
    <w:rsid w:val="00940948"/>
    <w:rsid w:val="00942B96"/>
    <w:rsid w:val="00942BA7"/>
    <w:rsid w:val="00942F13"/>
    <w:rsid w:val="00943884"/>
    <w:rsid w:val="0094748F"/>
    <w:rsid w:val="00950743"/>
    <w:rsid w:val="00955401"/>
    <w:rsid w:val="00955587"/>
    <w:rsid w:val="0095687F"/>
    <w:rsid w:val="00957281"/>
    <w:rsid w:val="009626C8"/>
    <w:rsid w:val="0096389B"/>
    <w:rsid w:val="00966786"/>
    <w:rsid w:val="00972495"/>
    <w:rsid w:val="00973299"/>
    <w:rsid w:val="009751D4"/>
    <w:rsid w:val="00986498"/>
    <w:rsid w:val="009926D8"/>
    <w:rsid w:val="00993146"/>
    <w:rsid w:val="009A0216"/>
    <w:rsid w:val="009A51B3"/>
    <w:rsid w:val="009A6998"/>
    <w:rsid w:val="009A77F9"/>
    <w:rsid w:val="009A7A8C"/>
    <w:rsid w:val="009B025A"/>
    <w:rsid w:val="009B1519"/>
    <w:rsid w:val="009B7223"/>
    <w:rsid w:val="009B72C5"/>
    <w:rsid w:val="009C1C41"/>
    <w:rsid w:val="009C21A6"/>
    <w:rsid w:val="009C7815"/>
    <w:rsid w:val="009D152B"/>
    <w:rsid w:val="009D1B5D"/>
    <w:rsid w:val="009D4549"/>
    <w:rsid w:val="009E03FB"/>
    <w:rsid w:val="009E05C1"/>
    <w:rsid w:val="009E0DDB"/>
    <w:rsid w:val="009E1894"/>
    <w:rsid w:val="009E1E3B"/>
    <w:rsid w:val="009E2355"/>
    <w:rsid w:val="009E3697"/>
    <w:rsid w:val="009E3715"/>
    <w:rsid w:val="009E53CF"/>
    <w:rsid w:val="009E5CBF"/>
    <w:rsid w:val="009F3039"/>
    <w:rsid w:val="009F3D91"/>
    <w:rsid w:val="009F5514"/>
    <w:rsid w:val="00A029D8"/>
    <w:rsid w:val="00A03EB9"/>
    <w:rsid w:val="00A10035"/>
    <w:rsid w:val="00A10147"/>
    <w:rsid w:val="00A10584"/>
    <w:rsid w:val="00A1139E"/>
    <w:rsid w:val="00A11646"/>
    <w:rsid w:val="00A2153A"/>
    <w:rsid w:val="00A308DE"/>
    <w:rsid w:val="00A318E5"/>
    <w:rsid w:val="00A31A77"/>
    <w:rsid w:val="00A33453"/>
    <w:rsid w:val="00A36F46"/>
    <w:rsid w:val="00A46C14"/>
    <w:rsid w:val="00A50DBA"/>
    <w:rsid w:val="00A548F2"/>
    <w:rsid w:val="00A561CE"/>
    <w:rsid w:val="00A622AC"/>
    <w:rsid w:val="00A64645"/>
    <w:rsid w:val="00A65CA5"/>
    <w:rsid w:val="00A6680A"/>
    <w:rsid w:val="00A67EF2"/>
    <w:rsid w:val="00A70399"/>
    <w:rsid w:val="00A70AAC"/>
    <w:rsid w:val="00A723B6"/>
    <w:rsid w:val="00A72B68"/>
    <w:rsid w:val="00A74AE2"/>
    <w:rsid w:val="00A75E1C"/>
    <w:rsid w:val="00A7635E"/>
    <w:rsid w:val="00A77482"/>
    <w:rsid w:val="00A80AAC"/>
    <w:rsid w:val="00A822D5"/>
    <w:rsid w:val="00A833C8"/>
    <w:rsid w:val="00A920E0"/>
    <w:rsid w:val="00A93E1A"/>
    <w:rsid w:val="00AA2EDD"/>
    <w:rsid w:val="00AA4701"/>
    <w:rsid w:val="00AA6E58"/>
    <w:rsid w:val="00AA749E"/>
    <w:rsid w:val="00AB5189"/>
    <w:rsid w:val="00AC1068"/>
    <w:rsid w:val="00AD1034"/>
    <w:rsid w:val="00AD58A3"/>
    <w:rsid w:val="00AD71F3"/>
    <w:rsid w:val="00AD7CE9"/>
    <w:rsid w:val="00AE09CB"/>
    <w:rsid w:val="00AE0C34"/>
    <w:rsid w:val="00AE28E6"/>
    <w:rsid w:val="00AF04F0"/>
    <w:rsid w:val="00AF2375"/>
    <w:rsid w:val="00AF4A1D"/>
    <w:rsid w:val="00AF4B28"/>
    <w:rsid w:val="00B12624"/>
    <w:rsid w:val="00B12B2D"/>
    <w:rsid w:val="00B13526"/>
    <w:rsid w:val="00B13E8E"/>
    <w:rsid w:val="00B15C6D"/>
    <w:rsid w:val="00B16BF7"/>
    <w:rsid w:val="00B22643"/>
    <w:rsid w:val="00B245F3"/>
    <w:rsid w:val="00B27EDD"/>
    <w:rsid w:val="00B30440"/>
    <w:rsid w:val="00B4053D"/>
    <w:rsid w:val="00B4110C"/>
    <w:rsid w:val="00B50298"/>
    <w:rsid w:val="00B50D66"/>
    <w:rsid w:val="00B51273"/>
    <w:rsid w:val="00B519B0"/>
    <w:rsid w:val="00B56F47"/>
    <w:rsid w:val="00B702C2"/>
    <w:rsid w:val="00B718FE"/>
    <w:rsid w:val="00B71B15"/>
    <w:rsid w:val="00B72D59"/>
    <w:rsid w:val="00B73237"/>
    <w:rsid w:val="00B751D9"/>
    <w:rsid w:val="00B83958"/>
    <w:rsid w:val="00B84B83"/>
    <w:rsid w:val="00B93394"/>
    <w:rsid w:val="00BA0845"/>
    <w:rsid w:val="00BA2B6E"/>
    <w:rsid w:val="00BA34C8"/>
    <w:rsid w:val="00BA5FFB"/>
    <w:rsid w:val="00BA72EE"/>
    <w:rsid w:val="00BB2E72"/>
    <w:rsid w:val="00BB4831"/>
    <w:rsid w:val="00BB6CD6"/>
    <w:rsid w:val="00BB7D8E"/>
    <w:rsid w:val="00BC26BC"/>
    <w:rsid w:val="00BC3748"/>
    <w:rsid w:val="00BC3B36"/>
    <w:rsid w:val="00BC7072"/>
    <w:rsid w:val="00BD077F"/>
    <w:rsid w:val="00BD72B3"/>
    <w:rsid w:val="00BE0457"/>
    <w:rsid w:val="00BE0BCC"/>
    <w:rsid w:val="00BE11F5"/>
    <w:rsid w:val="00BE2A6F"/>
    <w:rsid w:val="00BE67C1"/>
    <w:rsid w:val="00C027EC"/>
    <w:rsid w:val="00C06FA3"/>
    <w:rsid w:val="00C07A15"/>
    <w:rsid w:val="00C123FE"/>
    <w:rsid w:val="00C126F0"/>
    <w:rsid w:val="00C16CD4"/>
    <w:rsid w:val="00C223D9"/>
    <w:rsid w:val="00C30A74"/>
    <w:rsid w:val="00C45C22"/>
    <w:rsid w:val="00C56DDD"/>
    <w:rsid w:val="00C62DC3"/>
    <w:rsid w:val="00C63562"/>
    <w:rsid w:val="00C6377E"/>
    <w:rsid w:val="00C63C26"/>
    <w:rsid w:val="00C670B9"/>
    <w:rsid w:val="00C74E47"/>
    <w:rsid w:val="00C866ED"/>
    <w:rsid w:val="00C87695"/>
    <w:rsid w:val="00C87968"/>
    <w:rsid w:val="00C87CC2"/>
    <w:rsid w:val="00C967CA"/>
    <w:rsid w:val="00CA2A3B"/>
    <w:rsid w:val="00CB4AA4"/>
    <w:rsid w:val="00CB6C4F"/>
    <w:rsid w:val="00CB6DA2"/>
    <w:rsid w:val="00CC413B"/>
    <w:rsid w:val="00CC4EE4"/>
    <w:rsid w:val="00CC7E28"/>
    <w:rsid w:val="00CD5FFB"/>
    <w:rsid w:val="00CE68B4"/>
    <w:rsid w:val="00CF0788"/>
    <w:rsid w:val="00CF2F07"/>
    <w:rsid w:val="00D00F8D"/>
    <w:rsid w:val="00D0242D"/>
    <w:rsid w:val="00D036BA"/>
    <w:rsid w:val="00D0639A"/>
    <w:rsid w:val="00D11660"/>
    <w:rsid w:val="00D26EA0"/>
    <w:rsid w:val="00D35952"/>
    <w:rsid w:val="00D36A76"/>
    <w:rsid w:val="00D421E7"/>
    <w:rsid w:val="00D43CF6"/>
    <w:rsid w:val="00D47F48"/>
    <w:rsid w:val="00D5085A"/>
    <w:rsid w:val="00D529A3"/>
    <w:rsid w:val="00D61EA3"/>
    <w:rsid w:val="00D6231F"/>
    <w:rsid w:val="00D636A3"/>
    <w:rsid w:val="00D65197"/>
    <w:rsid w:val="00D6756A"/>
    <w:rsid w:val="00D676FC"/>
    <w:rsid w:val="00D710C9"/>
    <w:rsid w:val="00D7230D"/>
    <w:rsid w:val="00D83D2B"/>
    <w:rsid w:val="00D844D9"/>
    <w:rsid w:val="00D84A85"/>
    <w:rsid w:val="00D85446"/>
    <w:rsid w:val="00D857DA"/>
    <w:rsid w:val="00D87A61"/>
    <w:rsid w:val="00D92446"/>
    <w:rsid w:val="00D95D14"/>
    <w:rsid w:val="00D96002"/>
    <w:rsid w:val="00DA3444"/>
    <w:rsid w:val="00DB0383"/>
    <w:rsid w:val="00DB0DE9"/>
    <w:rsid w:val="00DC3768"/>
    <w:rsid w:val="00DC4F08"/>
    <w:rsid w:val="00DC6749"/>
    <w:rsid w:val="00DC78FF"/>
    <w:rsid w:val="00DE25A6"/>
    <w:rsid w:val="00DE4E59"/>
    <w:rsid w:val="00DE5D5D"/>
    <w:rsid w:val="00DF1274"/>
    <w:rsid w:val="00DF16A4"/>
    <w:rsid w:val="00DF64C6"/>
    <w:rsid w:val="00E05699"/>
    <w:rsid w:val="00E05AD9"/>
    <w:rsid w:val="00E13773"/>
    <w:rsid w:val="00E13E61"/>
    <w:rsid w:val="00E2110C"/>
    <w:rsid w:val="00E263CB"/>
    <w:rsid w:val="00E27822"/>
    <w:rsid w:val="00E278FF"/>
    <w:rsid w:val="00E35DC7"/>
    <w:rsid w:val="00E40F87"/>
    <w:rsid w:val="00E42B0B"/>
    <w:rsid w:val="00E43B90"/>
    <w:rsid w:val="00E44E69"/>
    <w:rsid w:val="00E5051C"/>
    <w:rsid w:val="00E5659B"/>
    <w:rsid w:val="00E600CA"/>
    <w:rsid w:val="00E615EE"/>
    <w:rsid w:val="00E63255"/>
    <w:rsid w:val="00E6678A"/>
    <w:rsid w:val="00E719E3"/>
    <w:rsid w:val="00E71EBE"/>
    <w:rsid w:val="00E71EE1"/>
    <w:rsid w:val="00E71FA7"/>
    <w:rsid w:val="00E732DD"/>
    <w:rsid w:val="00E73EAF"/>
    <w:rsid w:val="00E740F1"/>
    <w:rsid w:val="00E76D83"/>
    <w:rsid w:val="00E8342B"/>
    <w:rsid w:val="00E836FF"/>
    <w:rsid w:val="00E839E6"/>
    <w:rsid w:val="00E91D16"/>
    <w:rsid w:val="00E91D86"/>
    <w:rsid w:val="00E97D30"/>
    <w:rsid w:val="00EA07DE"/>
    <w:rsid w:val="00EA326B"/>
    <w:rsid w:val="00EA39EB"/>
    <w:rsid w:val="00EA7D39"/>
    <w:rsid w:val="00EB1B3A"/>
    <w:rsid w:val="00EB3D40"/>
    <w:rsid w:val="00EB4E4D"/>
    <w:rsid w:val="00EB6CDD"/>
    <w:rsid w:val="00EB7340"/>
    <w:rsid w:val="00EC4D61"/>
    <w:rsid w:val="00ED08A8"/>
    <w:rsid w:val="00ED19B7"/>
    <w:rsid w:val="00ED6B7D"/>
    <w:rsid w:val="00EE06B6"/>
    <w:rsid w:val="00EE173B"/>
    <w:rsid w:val="00EE6F9A"/>
    <w:rsid w:val="00EE7B71"/>
    <w:rsid w:val="00EF08EA"/>
    <w:rsid w:val="00EF2D03"/>
    <w:rsid w:val="00EF41EB"/>
    <w:rsid w:val="00EF5E6B"/>
    <w:rsid w:val="00F0350B"/>
    <w:rsid w:val="00F0731A"/>
    <w:rsid w:val="00F110B2"/>
    <w:rsid w:val="00F116B2"/>
    <w:rsid w:val="00F147CB"/>
    <w:rsid w:val="00F15A18"/>
    <w:rsid w:val="00F16E43"/>
    <w:rsid w:val="00F176BA"/>
    <w:rsid w:val="00F21B9F"/>
    <w:rsid w:val="00F261F5"/>
    <w:rsid w:val="00F27864"/>
    <w:rsid w:val="00F30B89"/>
    <w:rsid w:val="00F322C8"/>
    <w:rsid w:val="00F32303"/>
    <w:rsid w:val="00F412F2"/>
    <w:rsid w:val="00F4192D"/>
    <w:rsid w:val="00F43F5F"/>
    <w:rsid w:val="00F47CB0"/>
    <w:rsid w:val="00F51F4B"/>
    <w:rsid w:val="00F64D6C"/>
    <w:rsid w:val="00F65C24"/>
    <w:rsid w:val="00F65ED8"/>
    <w:rsid w:val="00F662F7"/>
    <w:rsid w:val="00F67DAB"/>
    <w:rsid w:val="00F76717"/>
    <w:rsid w:val="00F82E5C"/>
    <w:rsid w:val="00F84395"/>
    <w:rsid w:val="00F8588C"/>
    <w:rsid w:val="00F86D63"/>
    <w:rsid w:val="00F87E18"/>
    <w:rsid w:val="00F87FFB"/>
    <w:rsid w:val="00FA5D1A"/>
    <w:rsid w:val="00FA7954"/>
    <w:rsid w:val="00FB11B8"/>
    <w:rsid w:val="00FB19B0"/>
    <w:rsid w:val="00FC21E4"/>
    <w:rsid w:val="00FC5E29"/>
    <w:rsid w:val="00FC705A"/>
    <w:rsid w:val="00FD28FE"/>
    <w:rsid w:val="00FD7A82"/>
    <w:rsid w:val="00FE076F"/>
    <w:rsid w:val="00FE0868"/>
    <w:rsid w:val="00FE49EF"/>
    <w:rsid w:val="00FE5124"/>
    <w:rsid w:val="00FF635E"/>
    <w:rsid w:val="00FF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F67CE"/>
  <w15:chartTrackingRefBased/>
  <w15:docId w15:val="{17D5E1D4-B815-41A9-AE7A-385D88AEC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29B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7B229B"/>
    <w:pPr>
      <w:spacing w:after="0"/>
      <w:jc w:val="center"/>
    </w:pPr>
    <w:rPr>
      <w:rFonts w:ascii="Aptos" w:hAnsi="Aptos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B229B"/>
    <w:rPr>
      <w:rFonts w:ascii="Aptos" w:hAnsi="Aptos"/>
      <w:noProof/>
    </w:rPr>
  </w:style>
  <w:style w:type="paragraph" w:customStyle="1" w:styleId="EndNoteBibliography">
    <w:name w:val="EndNote Bibliography"/>
    <w:basedOn w:val="Normal"/>
    <w:link w:val="EndNoteBibliographyChar"/>
    <w:rsid w:val="007B229B"/>
    <w:pPr>
      <w:spacing w:line="240" w:lineRule="auto"/>
    </w:pPr>
    <w:rPr>
      <w:rFonts w:ascii="Aptos" w:hAnsi="Aptos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7B229B"/>
    <w:rPr>
      <w:rFonts w:ascii="Aptos" w:hAnsi="Aptos"/>
      <w:noProof/>
    </w:rPr>
  </w:style>
  <w:style w:type="character" w:styleId="Hyperlink">
    <w:name w:val="Hyperlink"/>
    <w:basedOn w:val="DefaultParagraphFont"/>
    <w:uiPriority w:val="99"/>
    <w:unhideWhenUsed/>
    <w:rsid w:val="007B22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29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668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68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668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68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680A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477E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E5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semibold">
    <w:name w:val="font-semibold"/>
    <w:basedOn w:val="DefaultParagraphFont"/>
    <w:rsid w:val="00FE5124"/>
  </w:style>
  <w:style w:type="paragraph" w:customStyle="1" w:styleId="code-line">
    <w:name w:val="code-line"/>
    <w:basedOn w:val="Normal"/>
    <w:rsid w:val="0054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163C47"/>
    <w:pPr>
      <w:tabs>
        <w:tab w:val="left" w:pos="260"/>
      </w:tabs>
      <w:spacing w:after="240" w:line="240" w:lineRule="auto"/>
      <w:ind w:left="264" w:hanging="26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7C318-BFC0-4369-8141-BEE3B6FF8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2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Duke Health</Company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Sinclair</dc:creator>
  <cp:keywords/>
  <dc:description/>
  <cp:lastModifiedBy>Alvaro Clemente Quijano Angarita</cp:lastModifiedBy>
  <cp:revision>829</cp:revision>
  <dcterms:created xsi:type="dcterms:W3CDTF">2026-04-10T19:47:00Z</dcterms:created>
  <dcterms:modified xsi:type="dcterms:W3CDTF">2026-06-18T11:44:00Z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zotero-version="9.0.4"&gt;&lt;session id="oba5Rua5"/&gt;&lt;style id="http://www.zotero.org/styles/american-medical-association" hasBibliography="1" bibliographyStyleHasBeenSet="1"/&gt;&lt;prefs&gt;&lt;pref name="fieldType" value="Field"/&gt;&lt;pref name="autom</vt:lpwstr>
  </property>
  <property fmtid="{D5CDD505-2E9C-101B-9397-08002B2CF9AE}" pid="3" name="ZOTERO_PREF_2">
    <vt:lpwstr>aticJournalAbbreviations" value="true"/&gt;&lt;/prefs&gt;&lt;/data&gt;</vt:lpwstr>
  </property>
</Properties>
</file>