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81051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2</w:t>
            </w:r>
            <w:r w:rsidR="00BB788E"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B81051" w:rsidRPr="00B81051">
        <w:rPr>
          <w:rFonts w:cs="Arial"/>
          <w:b/>
          <w:sz w:val="24"/>
          <w:szCs w:val="24"/>
          <w:highlight w:val="dark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512FCE" w:rsidP="00A356B0">
      <w:pPr>
        <w:pStyle w:val="BodyText2"/>
        <w:spacing w:after="0" w:line="240" w:lineRule="auto"/>
        <w:jc w:val="both"/>
      </w:pPr>
      <w:r>
        <w:t>Text message are compressed and sent and uncompressed successfully. Voice is sent, but not played back perfectly. Checksums have been implemented, simple testing for checksums work properly are present</w:t>
      </w:r>
      <w:r w:rsidR="005D0F81">
        <w:t xml:space="preserve">. Error detection and correction of receiver ID has been implemented and functions. </w:t>
      </w:r>
      <w:r w:rsidR="00B326AA">
        <w:t>Sender phonebook is operational and visible.</w:t>
      </w:r>
      <w:bookmarkStart w:id="2" w:name="_GoBack"/>
      <w:bookmarkEnd w:id="2"/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AA7886" w:rsidP="00B43E1A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5D0F81" w:rsidP="005D0F8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Pr="003545A3" w:rsidRDefault="001E6254" w:rsidP="00512F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Error Correction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Wednesday, October 31,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DC41E2">
            <w:pPr>
              <w:jc w:val="center"/>
            </w:pPr>
            <w:r>
              <w:t>100</w:t>
            </w:r>
          </w:p>
        </w:tc>
      </w:tr>
      <w:tr w:rsidR="001E6254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 xml:space="preserve">Write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Thursday, November 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DC41E2">
            <w:pPr>
              <w:jc w:val="center"/>
            </w:pPr>
            <w:r>
              <w:t>100</w:t>
            </w:r>
          </w:p>
        </w:tc>
      </w:tr>
      <w:tr w:rsidR="001E6254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 xml:space="preserve">Debug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DC41E2">
            <w:pPr>
              <w:jc w:val="center"/>
            </w:pPr>
            <w: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Pr="003545A3" w:rsidRDefault="001E6254" w:rsidP="00512F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Compression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Wednesday, October 31,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Pr="003545A3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 xml:space="preserve">Write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Thursday, November 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 xml:space="preserve">Debug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>Design Sender Phonebook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Wednesday, October 31,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>Write Sender Phonebook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Thursday, November 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512FC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r>
              <w:t>Debug Sender Phonebook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512FCE">
            <w:pPr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1E625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E6254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spacing w:before="40" w:after="40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1E62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1E6254">
              <w:rPr>
                <w:rFonts w:ascii="Calibri" w:hAnsi="Calibri" w:cs="Calibri"/>
                <w:color w:val="000000"/>
                <w:sz w:val="22"/>
                <w:szCs w:val="22"/>
              </w:rPr>
              <w:t>ocumentation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C74F32">
            <w:pPr>
              <w:jc w:val="center"/>
            </w:pPr>
            <w:r>
              <w:t>Friday, November 9, 2012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1E62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Testing of final system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C74F32">
            <w:pPr>
              <w:jc w:val="center"/>
            </w:pPr>
            <w:r>
              <w:t>Friday, November 9,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1E6254" w:rsidP="001E6254">
            <w:r>
              <w:t xml:space="preserve">UI Implementation 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1E6254" w:rsidP="001E6254">
            <w:pPr>
              <w:jc w:val="center"/>
            </w:pPr>
            <w:r>
              <w:t>Friday, November 9,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1E6254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Audio does not play properly on receiver side.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1E6254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t>Friday, November 9, 2012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1E6254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Take a look at sender and receiver code, look for bugs in buffer sizes/compression.</w:t>
            </w: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E6254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35" w:rsidRDefault="00D92E35">
      <w:r>
        <w:separator/>
      </w:r>
    </w:p>
  </w:endnote>
  <w:endnote w:type="continuationSeparator" w:id="0">
    <w:p w:rsidR="00D92E35" w:rsidRDefault="00D9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40E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F40E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35" w:rsidRDefault="00D92E35">
      <w:r>
        <w:separator/>
      </w:r>
    </w:p>
  </w:footnote>
  <w:footnote w:type="continuationSeparator" w:id="0">
    <w:p w:rsidR="00D92E35" w:rsidRDefault="00D92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E6254"/>
    <w:rsid w:val="001F40E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12FCE"/>
    <w:rsid w:val="0052548E"/>
    <w:rsid w:val="00533BEA"/>
    <w:rsid w:val="00593545"/>
    <w:rsid w:val="005B054A"/>
    <w:rsid w:val="005D0F81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326AA"/>
    <w:rsid w:val="00B43E1A"/>
    <w:rsid w:val="00B53933"/>
    <w:rsid w:val="00B70794"/>
    <w:rsid w:val="00B81051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2E35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242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6</cp:revision>
  <cp:lastPrinted>2012-11-02T17:08:00Z</cp:lastPrinted>
  <dcterms:created xsi:type="dcterms:W3CDTF">2012-11-02T16:52:00Z</dcterms:created>
  <dcterms:modified xsi:type="dcterms:W3CDTF">2012-11-02T18:18:00Z</dcterms:modified>
</cp:coreProperties>
</file>