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A3" w:rsidRDefault="00020BA3" w:rsidP="00020BA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Herrera</w:t>
      </w:r>
    </w:p>
    <w:p w:rsidR="00020BA3" w:rsidRPr="00142E89" w:rsidRDefault="00020BA3" w:rsidP="00020BA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142E89">
        <w:rPr>
          <w:rFonts w:ascii="Times New Roman" w:hAnsi="Times New Roman" w:cs="Times New Roman"/>
          <w:sz w:val="24"/>
          <w:szCs w:val="24"/>
        </w:rPr>
        <w:t>Phillip Thomas</w:t>
      </w:r>
    </w:p>
    <w:p w:rsidR="00020BA3" w:rsidRPr="00142E89" w:rsidRDefault="00020BA3" w:rsidP="00020BA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2E89">
        <w:rPr>
          <w:rFonts w:ascii="Times New Roman" w:hAnsi="Times New Roman" w:cs="Times New Roman"/>
          <w:sz w:val="24"/>
          <w:szCs w:val="24"/>
        </w:rPr>
        <w:t>CIS 320</w:t>
      </w:r>
      <w:bookmarkStart w:id="0" w:name="_GoBack"/>
      <w:bookmarkEnd w:id="0"/>
    </w:p>
    <w:p w:rsidR="00020BA3" w:rsidRPr="00142E89" w:rsidRDefault="00D86AEA" w:rsidP="00020BA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</w:t>
      </w:r>
      <w:r w:rsidR="00020BA3" w:rsidRPr="00142E89">
        <w:rPr>
          <w:rFonts w:ascii="Times New Roman" w:hAnsi="Times New Roman" w:cs="Times New Roman"/>
          <w:sz w:val="24"/>
          <w:szCs w:val="24"/>
        </w:rPr>
        <w:t>, 2016</w:t>
      </w:r>
    </w:p>
    <w:p w:rsidR="00295952" w:rsidRDefault="00295952"/>
    <w:p w:rsidR="00020BA3" w:rsidRDefault="00020BA3" w:rsidP="00020BA3">
      <w:pPr>
        <w:jc w:val="center"/>
      </w:pPr>
    </w:p>
    <w:p w:rsidR="00020BA3" w:rsidRDefault="00020BA3" w:rsidP="00020BA3">
      <w:pPr>
        <w:jc w:val="center"/>
      </w:pPr>
      <w:r>
        <w:t xml:space="preserve">New York </w:t>
      </w:r>
      <w:r w:rsidR="000F7C66">
        <w:t xml:space="preserve">City </w:t>
      </w:r>
      <w:r>
        <w:t>Leading Causes of Death</w:t>
      </w:r>
    </w:p>
    <w:p w:rsidR="00F9286E" w:rsidRDefault="00622CD1" w:rsidP="00042B15">
      <w:pPr>
        <w:spacing w:line="480" w:lineRule="auto"/>
        <w:ind w:firstLine="720"/>
      </w:pPr>
      <w:r>
        <w:t>The dataset used for this project deals with the leading causes of death in New York City</w:t>
      </w:r>
      <w:r w:rsidR="00C00BDD">
        <w:t xml:space="preserve">. It involves data dealing with ethnicity, sex, </w:t>
      </w:r>
      <w:r w:rsidR="000655CE">
        <w:t>causes</w:t>
      </w:r>
      <w:r w:rsidR="00A45680">
        <w:t xml:space="preserve"> of death, and year. </w:t>
      </w:r>
      <w:r w:rsidR="00D86AEA">
        <w:t xml:space="preserve">The </w:t>
      </w:r>
      <w:r w:rsidR="00F9286E">
        <w:t xml:space="preserve">ethnicities were broken into four categories:  Asian &amp; Pacific Islander, Hispanic, Non-Hispanic Black, and Non-Hispanic White. </w:t>
      </w:r>
      <w:r w:rsidR="000655CE">
        <w:t>The genders consisted of male and female. The period in time in which the data was collected ranged from the years 2007-2011.</w:t>
      </w:r>
    </w:p>
    <w:p w:rsidR="00A45680" w:rsidRPr="00F4197A" w:rsidRDefault="0001651C" w:rsidP="00042B15">
      <w:pPr>
        <w:spacing w:line="480" w:lineRule="auto"/>
        <w:ind w:firstLine="720"/>
        <w:rPr>
          <w:rFonts w:ascii="Calibri" w:eastAsia="Times New Roman" w:hAnsi="Calibri" w:cs="Times New Roman"/>
          <w:b/>
          <w:bCs/>
          <w:color w:val="000000"/>
        </w:rPr>
      </w:pPr>
      <w:r>
        <w:t xml:space="preserve">Females </w:t>
      </w:r>
      <w:r w:rsidR="00A45680">
        <w:t xml:space="preserve">consisted of more </w:t>
      </w:r>
      <w:r>
        <w:t>total deaths overall than males</w:t>
      </w:r>
      <w:r w:rsidR="00A45680">
        <w:t xml:space="preserve">. The amount of </w:t>
      </w:r>
      <w:r>
        <w:t>deaths that occurred within male</w:t>
      </w:r>
      <w:r w:rsidR="00A45680">
        <w:t xml:space="preserve">s from </w:t>
      </w:r>
      <w:r w:rsidR="00A45680" w:rsidRPr="00F9286E">
        <w:t xml:space="preserve">2007-2011 was </w:t>
      </w:r>
      <w:r w:rsidR="00A45680" w:rsidRPr="00F4197A">
        <w:rPr>
          <w:rFonts w:ascii="Calibri" w:eastAsia="Times New Roman" w:hAnsi="Calibri" w:cs="Times New Roman"/>
          <w:bCs/>
          <w:color w:val="000000"/>
        </w:rPr>
        <w:t>351</w:t>
      </w:r>
      <w:r w:rsidR="00F9286E" w:rsidRPr="00F4197A">
        <w:rPr>
          <w:rFonts w:ascii="Calibri" w:eastAsia="Times New Roman" w:hAnsi="Calibri" w:cs="Times New Roman"/>
          <w:bCs/>
          <w:color w:val="000000"/>
        </w:rPr>
        <w:t>,</w:t>
      </w:r>
      <w:r w:rsidR="00A45680" w:rsidRPr="00F4197A">
        <w:rPr>
          <w:rFonts w:ascii="Calibri" w:eastAsia="Times New Roman" w:hAnsi="Calibri" w:cs="Times New Roman"/>
          <w:bCs/>
          <w:color w:val="000000"/>
        </w:rPr>
        <w:t>843. The total amount of deaths for females during the same time period was 363</w:t>
      </w:r>
      <w:r w:rsidR="00F9286E" w:rsidRPr="00F4197A">
        <w:rPr>
          <w:rFonts w:ascii="Calibri" w:eastAsia="Times New Roman" w:hAnsi="Calibri" w:cs="Times New Roman"/>
          <w:bCs/>
          <w:color w:val="000000"/>
        </w:rPr>
        <w:t xml:space="preserve">, </w:t>
      </w:r>
      <w:r w:rsidR="00A45680" w:rsidRPr="00F4197A">
        <w:rPr>
          <w:rFonts w:ascii="Calibri" w:eastAsia="Times New Roman" w:hAnsi="Calibri" w:cs="Times New Roman"/>
          <w:bCs/>
          <w:color w:val="000000"/>
        </w:rPr>
        <w:t>018</w:t>
      </w:r>
      <w:r w:rsidR="00A45680" w:rsidRPr="00F4197A">
        <w:rPr>
          <w:rFonts w:ascii="Calibri" w:eastAsia="Times New Roman" w:hAnsi="Calibri" w:cs="Times New Roman"/>
          <w:b/>
          <w:bCs/>
          <w:color w:val="000000"/>
        </w:rPr>
        <w:t>.</w:t>
      </w:r>
      <w:r w:rsidRPr="00F4197A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247CA3" w:rsidRPr="00F9286E" w:rsidRDefault="00247CA3" w:rsidP="00B0333A">
      <w:pPr>
        <w:pStyle w:val="ListParagraph"/>
        <w:spacing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noProof/>
        </w:rPr>
        <w:drawing>
          <wp:inline distT="0" distB="0" distL="0" distR="0" wp14:anchorId="72AA1435" wp14:editId="0D610E35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45680" w:rsidRDefault="00A45680" w:rsidP="00B0333A">
      <w:pPr>
        <w:spacing w:line="240" w:lineRule="auto"/>
      </w:pPr>
    </w:p>
    <w:p w:rsidR="00C00BDD" w:rsidRDefault="00C00BDD" w:rsidP="00B0333A">
      <w:pPr>
        <w:spacing w:line="240" w:lineRule="auto"/>
      </w:pPr>
    </w:p>
    <w:p w:rsidR="00B0333A" w:rsidRDefault="00717CB7" w:rsidP="00467F86">
      <w:pPr>
        <w:spacing w:line="480" w:lineRule="auto"/>
        <w:ind w:firstLine="720"/>
      </w:pPr>
      <w:r>
        <w:t>The highest and lowest</w:t>
      </w:r>
      <w:r w:rsidR="0001651C">
        <w:t xml:space="preserve"> numbers of death </w:t>
      </w:r>
      <w:r w:rsidR="00F9286E">
        <w:t>per dise</w:t>
      </w:r>
      <w:r w:rsidR="00467F86">
        <w:t>ase within the four ethnicities varied.</w:t>
      </w:r>
      <w:r>
        <w:t xml:space="preserve"> </w:t>
      </w:r>
      <w:r w:rsidR="00B0333A">
        <w:t xml:space="preserve">The highest cause of death amongst the data was heart disease. It killed more people in New York City from 2007-2011 than any other cause. The lowest amounts of death is accredited to </w:t>
      </w:r>
      <w:r w:rsidR="00B0333A">
        <w:rPr>
          <w:rFonts w:ascii="Calibri" w:eastAsia="Times New Roman" w:hAnsi="Calibri" w:cs="Times New Roman"/>
          <w:color w:val="000000"/>
        </w:rPr>
        <w:t>pneumonitis due to solids and liquids. In total, it only tallied a number of 24 deaths.</w:t>
      </w:r>
    </w:p>
    <w:p w:rsidR="0001651C" w:rsidRPr="00B0333A" w:rsidRDefault="0001651C" w:rsidP="00B0333A">
      <w:pPr>
        <w:spacing w:line="240" w:lineRule="auto"/>
        <w:rPr>
          <w:b/>
        </w:rPr>
      </w:pPr>
      <w:r w:rsidRPr="00B0333A">
        <w:rPr>
          <w:b/>
        </w:rPr>
        <w:t>Highest: Heart Disease</w:t>
      </w:r>
    </w:p>
    <w:p w:rsidR="00042B15" w:rsidRDefault="0001651C" w:rsidP="00042B15">
      <w:pPr>
        <w:spacing w:line="240" w:lineRule="auto"/>
      </w:pPr>
      <w:r>
        <w:t xml:space="preserve">Asian &amp; </w:t>
      </w:r>
      <w:r w:rsidR="00717CB7">
        <w:t>Pacific Islander</w:t>
      </w:r>
      <w:r>
        <w:t xml:space="preserve">: </w:t>
      </w:r>
      <w:r w:rsidR="00717CB7">
        <w:t>13, 974</w:t>
      </w:r>
    </w:p>
    <w:p w:rsidR="00717CB7" w:rsidRDefault="00717CB7" w:rsidP="00042B15">
      <w:pPr>
        <w:spacing w:line="240" w:lineRule="auto"/>
      </w:pPr>
      <w:r>
        <w:t>Hispanic: 40, 413</w:t>
      </w:r>
    </w:p>
    <w:p w:rsidR="0001651C" w:rsidRDefault="00717CB7" w:rsidP="00042B15">
      <w:pPr>
        <w:spacing w:line="240" w:lineRule="auto"/>
      </w:pPr>
      <w:r>
        <w:t>Non-Hispanic Black: 67, 884</w:t>
      </w:r>
    </w:p>
    <w:p w:rsidR="0001651C" w:rsidRDefault="0001651C" w:rsidP="00042B15">
      <w:pPr>
        <w:spacing w:line="240" w:lineRule="auto"/>
      </w:pPr>
      <w:r>
        <w:t xml:space="preserve">Non-Hispanic </w:t>
      </w:r>
      <w:r w:rsidR="00717CB7">
        <w:t>White: 166, 704</w:t>
      </w:r>
    </w:p>
    <w:p w:rsidR="00717CB7" w:rsidRDefault="00717CB7" w:rsidP="00042B15">
      <w:pPr>
        <w:spacing w:line="240" w:lineRule="auto"/>
      </w:pPr>
      <w:r>
        <w:t xml:space="preserve">Overall total: </w:t>
      </w:r>
      <w:r w:rsidR="00F9286E">
        <w:t>288, 975</w:t>
      </w:r>
    </w:p>
    <w:p w:rsidR="00247CA3" w:rsidRDefault="00393219" w:rsidP="00B0333A">
      <w:pPr>
        <w:spacing w:line="240" w:lineRule="auto"/>
      </w:pPr>
      <w:r>
        <w:rPr>
          <w:noProof/>
        </w:rPr>
        <w:drawing>
          <wp:inline distT="0" distB="0" distL="0" distR="0" wp14:anchorId="7CB51CA6" wp14:editId="179AB016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9286E" w:rsidRDefault="00F9286E" w:rsidP="00B0333A">
      <w:pPr>
        <w:spacing w:line="240" w:lineRule="auto"/>
      </w:pPr>
    </w:p>
    <w:p w:rsidR="00F9286E" w:rsidRPr="00B0333A" w:rsidRDefault="00F9286E" w:rsidP="00B0333A">
      <w:pPr>
        <w:spacing w:line="240" w:lineRule="auto"/>
        <w:rPr>
          <w:rFonts w:ascii="Calibri" w:eastAsia="Times New Roman" w:hAnsi="Calibri" w:cs="Times New Roman"/>
          <w:b/>
          <w:color w:val="000000"/>
        </w:rPr>
      </w:pPr>
      <w:r w:rsidRPr="00B0333A">
        <w:rPr>
          <w:b/>
        </w:rPr>
        <w:t xml:space="preserve">Lowest: </w:t>
      </w:r>
      <w:r w:rsidRPr="00B0333A">
        <w:rPr>
          <w:rFonts w:ascii="Calibri" w:eastAsia="Times New Roman" w:hAnsi="Calibri" w:cs="Times New Roman"/>
          <w:b/>
          <w:color w:val="000000"/>
        </w:rPr>
        <w:t>Pneumonitis due to solids and liquids</w:t>
      </w:r>
    </w:p>
    <w:p w:rsidR="00B0333A" w:rsidRDefault="00F9286E" w:rsidP="00B0333A">
      <w:pPr>
        <w:spacing w:line="240" w:lineRule="auto"/>
      </w:pPr>
      <w:r>
        <w:t xml:space="preserve">Asian &amp; Pacific Islander: 0 </w:t>
      </w:r>
    </w:p>
    <w:p w:rsidR="00F9286E" w:rsidRDefault="00F9286E" w:rsidP="00B0333A">
      <w:pPr>
        <w:spacing w:line="240" w:lineRule="auto"/>
      </w:pPr>
      <w:r>
        <w:t>Hispanic: 24</w:t>
      </w:r>
    </w:p>
    <w:p w:rsidR="00F9286E" w:rsidRDefault="00F9286E" w:rsidP="00B0333A">
      <w:pPr>
        <w:spacing w:line="240" w:lineRule="auto"/>
      </w:pPr>
      <w:r>
        <w:t>Non-Hispanic Black: 0</w:t>
      </w:r>
    </w:p>
    <w:p w:rsidR="00F9286E" w:rsidRDefault="00F9286E" w:rsidP="00B0333A">
      <w:pPr>
        <w:spacing w:line="240" w:lineRule="auto"/>
      </w:pPr>
      <w:r>
        <w:t xml:space="preserve">Non-Hispanic White: 0 </w:t>
      </w:r>
    </w:p>
    <w:p w:rsidR="00B0333A" w:rsidRDefault="00F9286E" w:rsidP="00467F86">
      <w:pPr>
        <w:spacing w:line="240" w:lineRule="auto"/>
      </w:pPr>
      <w:r>
        <w:t>Overall total: 24</w:t>
      </w:r>
    </w:p>
    <w:p w:rsidR="00B0333A" w:rsidRDefault="00B0333A" w:rsidP="00B0333A">
      <w:pPr>
        <w:pStyle w:val="ListParagraph"/>
        <w:spacing w:line="240" w:lineRule="auto"/>
      </w:pPr>
    </w:p>
    <w:p w:rsidR="0001651C" w:rsidRPr="00467F86" w:rsidRDefault="0001651C" w:rsidP="00467F86">
      <w:pPr>
        <w:spacing w:line="240" w:lineRule="auto"/>
        <w:ind w:firstLine="720"/>
      </w:pPr>
      <w:r w:rsidRPr="00467F86">
        <w:t xml:space="preserve">The </w:t>
      </w:r>
      <w:r w:rsidR="00907EF6" w:rsidRPr="00467F86">
        <w:t xml:space="preserve">total amount of deaths </w:t>
      </w:r>
      <w:r w:rsidR="00717CB7" w:rsidRPr="00467F86">
        <w:t xml:space="preserve">in New York </w:t>
      </w:r>
      <w:r w:rsidR="00907EF6" w:rsidRPr="00467F86">
        <w:t xml:space="preserve">per ethnicity from 2007-2011: </w:t>
      </w:r>
    </w:p>
    <w:p w:rsidR="0001651C" w:rsidRDefault="0001651C" w:rsidP="00B0333A">
      <w:pPr>
        <w:spacing w:line="240" w:lineRule="auto"/>
      </w:pPr>
      <w:r>
        <w:t xml:space="preserve">Asian &amp; Pacific Islanders: </w:t>
      </w:r>
      <w:r w:rsidR="00907EF6">
        <w:t>41,469</w:t>
      </w:r>
    </w:p>
    <w:p w:rsidR="0001651C" w:rsidRDefault="0001651C" w:rsidP="00B0333A">
      <w:pPr>
        <w:spacing w:line="240" w:lineRule="auto"/>
      </w:pPr>
      <w:r>
        <w:t>Non-Hispanic Whites</w:t>
      </w:r>
      <w:r w:rsidR="00907EF6">
        <w:t>: 362, 925</w:t>
      </w:r>
    </w:p>
    <w:p w:rsidR="0001651C" w:rsidRDefault="0001651C" w:rsidP="00B0333A">
      <w:pPr>
        <w:spacing w:line="240" w:lineRule="auto"/>
      </w:pPr>
      <w:r>
        <w:t>Non-Hispanic Blacks</w:t>
      </w:r>
      <w:r w:rsidR="00907EF6">
        <w:t>: 187,431</w:t>
      </w:r>
    </w:p>
    <w:p w:rsidR="0001651C" w:rsidRDefault="0001651C" w:rsidP="00B0333A">
      <w:pPr>
        <w:spacing w:line="240" w:lineRule="auto"/>
      </w:pPr>
      <w:r>
        <w:t xml:space="preserve">Hispanic: </w:t>
      </w:r>
      <w:r w:rsidR="00907EF6">
        <w:t>123,036</w:t>
      </w:r>
    </w:p>
    <w:p w:rsidR="0001651C" w:rsidRDefault="00393219" w:rsidP="00B0333A">
      <w:pPr>
        <w:spacing w:line="240" w:lineRule="auto"/>
      </w:pPr>
      <w:r>
        <w:rPr>
          <w:noProof/>
        </w:rPr>
        <w:drawing>
          <wp:inline distT="0" distB="0" distL="0" distR="0" wp14:anchorId="45697224" wp14:editId="0C975572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1651C" w:rsidRDefault="00907EF6" w:rsidP="00B0333A">
      <w:pPr>
        <w:spacing w:line="240" w:lineRule="auto"/>
      </w:pPr>
      <w:r>
        <w:t>Overall total: 714, 861</w:t>
      </w:r>
    </w:p>
    <w:p w:rsidR="00B0333A" w:rsidRDefault="00B0333A" w:rsidP="00B0333A">
      <w:pPr>
        <w:spacing w:line="240" w:lineRule="auto"/>
      </w:pPr>
    </w:p>
    <w:p w:rsidR="0001651C" w:rsidRDefault="006C222C" w:rsidP="00B0333A">
      <w:pPr>
        <w:spacing w:line="240" w:lineRule="auto"/>
      </w:pPr>
      <w:r>
        <w:t>Th</w:t>
      </w:r>
      <w:r w:rsidR="000655CE">
        <w:t xml:space="preserve">e total amount of deaths in </w:t>
      </w:r>
      <w:r>
        <w:t>Sex and Ethnicity</w:t>
      </w:r>
      <w:r w:rsidR="00B0333A">
        <w:t xml:space="preserve"> from 2007-2011</w:t>
      </w:r>
    </w:p>
    <w:p w:rsidR="006C222C" w:rsidRDefault="006C222C" w:rsidP="00467F86">
      <w:pPr>
        <w:spacing w:line="240" w:lineRule="auto"/>
        <w:ind w:firstLine="720"/>
      </w:pPr>
      <w:r>
        <w:t>Female:</w:t>
      </w:r>
    </w:p>
    <w:p w:rsidR="006C222C" w:rsidRDefault="006C222C" w:rsidP="00B0333A">
      <w:pPr>
        <w:spacing w:line="240" w:lineRule="auto"/>
      </w:pPr>
      <w:r>
        <w:t>Asian &amp; Pacific Islanders: 18,381</w:t>
      </w:r>
    </w:p>
    <w:p w:rsidR="006C222C" w:rsidRDefault="006C222C" w:rsidP="00B0333A">
      <w:pPr>
        <w:spacing w:line="240" w:lineRule="auto"/>
      </w:pPr>
      <w:r>
        <w:t>Non-Hispanic Whites: 188,973</w:t>
      </w:r>
    </w:p>
    <w:p w:rsidR="006C222C" w:rsidRDefault="006C222C" w:rsidP="00B0333A">
      <w:pPr>
        <w:spacing w:line="240" w:lineRule="auto"/>
      </w:pPr>
      <w:r>
        <w:t>Non-Hispanic Blacks: 97,818</w:t>
      </w:r>
    </w:p>
    <w:p w:rsidR="006C222C" w:rsidRDefault="006C222C" w:rsidP="00B0333A">
      <w:pPr>
        <w:spacing w:line="240" w:lineRule="auto"/>
      </w:pPr>
      <w:r>
        <w:t>Hispanic: 57,846</w:t>
      </w:r>
    </w:p>
    <w:p w:rsidR="006C222C" w:rsidRDefault="006C222C" w:rsidP="00467F86">
      <w:pPr>
        <w:spacing w:line="240" w:lineRule="auto"/>
        <w:ind w:firstLine="720"/>
      </w:pPr>
      <w:r>
        <w:t>Male:</w:t>
      </w:r>
    </w:p>
    <w:p w:rsidR="006C222C" w:rsidRDefault="006C222C" w:rsidP="00B0333A">
      <w:pPr>
        <w:spacing w:line="240" w:lineRule="auto"/>
      </w:pPr>
      <w:r>
        <w:t>Asian &amp; Pacific Islanders: 23,088</w:t>
      </w:r>
    </w:p>
    <w:p w:rsidR="006C222C" w:rsidRDefault="006C222C" w:rsidP="00B0333A">
      <w:pPr>
        <w:spacing w:line="240" w:lineRule="auto"/>
      </w:pPr>
      <w:r>
        <w:t>Non-Hispanic Whites: 188,973</w:t>
      </w:r>
    </w:p>
    <w:p w:rsidR="006C222C" w:rsidRDefault="006C222C" w:rsidP="00B0333A">
      <w:pPr>
        <w:spacing w:line="240" w:lineRule="auto"/>
      </w:pPr>
      <w:r>
        <w:t>Non-Hispanic Blacks: 89,613</w:t>
      </w:r>
    </w:p>
    <w:p w:rsidR="006C222C" w:rsidRDefault="006C222C" w:rsidP="00B0333A">
      <w:pPr>
        <w:spacing w:line="240" w:lineRule="auto"/>
      </w:pPr>
      <w:r>
        <w:t>Hispanic: 65190</w:t>
      </w:r>
    </w:p>
    <w:p w:rsidR="006C222C" w:rsidRDefault="006C222C" w:rsidP="00B0333A">
      <w:pPr>
        <w:spacing w:line="240" w:lineRule="auto"/>
      </w:pPr>
    </w:p>
    <w:p w:rsidR="006C222C" w:rsidRDefault="006C222C" w:rsidP="00B0333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DCC4A4E" wp14:editId="14D83F27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17CB7" w:rsidRDefault="00717CB7" w:rsidP="00B0333A">
      <w:pPr>
        <w:spacing w:line="240" w:lineRule="auto"/>
      </w:pPr>
    </w:p>
    <w:p w:rsidR="00B0333A" w:rsidRDefault="00B0333A" w:rsidP="00B0333A">
      <w:pPr>
        <w:spacing w:line="240" w:lineRule="auto"/>
      </w:pPr>
    </w:p>
    <w:sectPr w:rsidR="00B0333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07E" w:rsidRDefault="0012707E" w:rsidP="00020BA3">
      <w:pPr>
        <w:spacing w:after="0" w:line="240" w:lineRule="auto"/>
      </w:pPr>
      <w:r>
        <w:separator/>
      </w:r>
    </w:p>
  </w:endnote>
  <w:endnote w:type="continuationSeparator" w:id="0">
    <w:p w:rsidR="0012707E" w:rsidRDefault="0012707E" w:rsidP="00020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07E" w:rsidRDefault="0012707E" w:rsidP="00020BA3">
      <w:pPr>
        <w:spacing w:after="0" w:line="240" w:lineRule="auto"/>
      </w:pPr>
      <w:r>
        <w:separator/>
      </w:r>
    </w:p>
  </w:footnote>
  <w:footnote w:type="continuationSeparator" w:id="0">
    <w:p w:rsidR="0012707E" w:rsidRDefault="0012707E" w:rsidP="00020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86D" w:rsidRDefault="0087486D">
    <w:pPr>
      <w:pStyle w:val="Header"/>
      <w:jc w:val="right"/>
    </w:pPr>
    <w:r>
      <w:t xml:space="preserve">Herrera </w:t>
    </w:r>
    <w:sdt>
      <w:sdtPr>
        <w:id w:val="138406059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24EC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660B4A" w:rsidRDefault="00660B4A" w:rsidP="00020BA3">
    <w:pPr>
      <w:pStyle w:val="Header"/>
      <w:tabs>
        <w:tab w:val="clear" w:pos="4680"/>
        <w:tab w:val="clear" w:pos="9360"/>
        <w:tab w:val="left" w:pos="805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07E28"/>
    <w:multiLevelType w:val="hybridMultilevel"/>
    <w:tmpl w:val="E1B68AD0"/>
    <w:lvl w:ilvl="0" w:tplc="ECE4A65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A3"/>
    <w:rsid w:val="00000DB2"/>
    <w:rsid w:val="0001651C"/>
    <w:rsid w:val="00020BA3"/>
    <w:rsid w:val="00042B15"/>
    <w:rsid w:val="00064EA6"/>
    <w:rsid w:val="000655CE"/>
    <w:rsid w:val="000F7C66"/>
    <w:rsid w:val="0012707E"/>
    <w:rsid w:val="00247CA3"/>
    <w:rsid w:val="002724EC"/>
    <w:rsid w:val="00295952"/>
    <w:rsid w:val="00393219"/>
    <w:rsid w:val="00467F86"/>
    <w:rsid w:val="005C1FEF"/>
    <w:rsid w:val="00622CD1"/>
    <w:rsid w:val="00660B4A"/>
    <w:rsid w:val="006C222C"/>
    <w:rsid w:val="00717CB7"/>
    <w:rsid w:val="0087486D"/>
    <w:rsid w:val="00907EF6"/>
    <w:rsid w:val="00A45680"/>
    <w:rsid w:val="00B0333A"/>
    <w:rsid w:val="00B130BB"/>
    <w:rsid w:val="00C00BDD"/>
    <w:rsid w:val="00C501BD"/>
    <w:rsid w:val="00D46123"/>
    <w:rsid w:val="00D86AEA"/>
    <w:rsid w:val="00D92987"/>
    <w:rsid w:val="00E904BB"/>
    <w:rsid w:val="00F4197A"/>
    <w:rsid w:val="00F9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FD5F5-8EA6-41BE-B25E-F1698DD6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0BA3"/>
    <w:pPr>
      <w:widowControl w:val="0"/>
      <w:overflowPunct w:val="0"/>
      <w:adjustRightInd w:val="0"/>
      <w:spacing w:after="0" w:line="240" w:lineRule="auto"/>
    </w:pPr>
    <w:rPr>
      <w:rFonts w:ascii="Calibri" w:eastAsia="Times New Roman" w:hAnsi="Calibri" w:cs="Calibri"/>
      <w:kern w:val="28"/>
    </w:rPr>
  </w:style>
  <w:style w:type="paragraph" w:styleId="Header">
    <w:name w:val="header"/>
    <w:basedOn w:val="Normal"/>
    <w:link w:val="HeaderChar"/>
    <w:uiPriority w:val="99"/>
    <w:unhideWhenUsed/>
    <w:rsid w:val="00020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BA3"/>
  </w:style>
  <w:style w:type="paragraph" w:styleId="Footer">
    <w:name w:val="footer"/>
    <w:basedOn w:val="Normal"/>
    <w:link w:val="FooterChar"/>
    <w:uiPriority w:val="99"/>
    <w:unhideWhenUsed/>
    <w:rsid w:val="00020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BA3"/>
  </w:style>
  <w:style w:type="paragraph" w:styleId="ListParagraph">
    <w:name w:val="List Paragraph"/>
    <w:basedOn w:val="Normal"/>
    <w:uiPriority w:val="34"/>
    <w:qFormat/>
    <w:rsid w:val="00F92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CIS%20320\Project\RawData\New%20York%20City%20Leading%20Causes%20of%20Death-Raw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CIS%20320\Project\RawData\New%20York%20City%20Leading%20Causes%20of%20Death-Raw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CIS%20320\Project\RawData\New%20York%20City%20Leading%20Causes%20of%20Death-Raw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CIS%20320\Project\RawData\New%20York%20City%20Leading%20Causes%20of%20Death-Raw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 York City Leading Causes of Death-Raw Data.xlsx]Sheet1!PivotTable1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Death by Sex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Sheet1!$A$4:$A$6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Sheet1!$B$4:$B$6</c:f>
              <c:numCache>
                <c:formatCode>General</c:formatCode>
                <c:ptCount val="2"/>
                <c:pt idx="0">
                  <c:v>363018</c:v>
                </c:pt>
                <c:pt idx="1">
                  <c:v>351843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3212088"/>
        <c:axId val="253214832"/>
      </c:barChart>
      <c:catAx>
        <c:axId val="253212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214832"/>
        <c:crosses val="autoZero"/>
        <c:auto val="1"/>
        <c:lblAlgn val="ctr"/>
        <c:lblOffset val="100"/>
        <c:noMultiLvlLbl val="0"/>
      </c:catAx>
      <c:valAx>
        <c:axId val="25321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212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 York City Leading Causes of Death-Raw Data.xlsx]Sheet1!PivotTable1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DISEASES OF HEART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Sheet1!$A$5:$A$9</c:f>
              <c:strCache>
                <c:ptCount val="4"/>
                <c:pt idx="0">
                  <c:v>ASIAN &amp; PACIFIC ISLANDER</c:v>
                </c:pt>
                <c:pt idx="1">
                  <c:v>HISPANIC</c:v>
                </c:pt>
                <c:pt idx="2">
                  <c:v>NON-HISPANIC BLACK</c:v>
                </c:pt>
                <c:pt idx="3">
                  <c:v>NON-HISPANIC WHITE</c:v>
                </c:pt>
              </c:strCache>
            </c:strRef>
          </c:cat>
          <c:val>
            <c:numRef>
              <c:f>Sheet1!$B$5:$B$9</c:f>
              <c:numCache>
                <c:formatCode>General</c:formatCode>
                <c:ptCount val="4"/>
                <c:pt idx="0">
                  <c:v>13974</c:v>
                </c:pt>
                <c:pt idx="1">
                  <c:v>40413</c:v>
                </c:pt>
                <c:pt idx="2">
                  <c:v>67884</c:v>
                </c:pt>
                <c:pt idx="3">
                  <c:v>166704</c:v>
                </c:pt>
              </c:numCache>
            </c:numRef>
          </c:val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PNEUMONITIS DUE TO SOLIDS AND LIQUIDS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Sheet1!$A$5:$A$9</c:f>
              <c:strCache>
                <c:ptCount val="4"/>
                <c:pt idx="0">
                  <c:v>ASIAN &amp; PACIFIC ISLANDER</c:v>
                </c:pt>
                <c:pt idx="1">
                  <c:v>HISPANIC</c:v>
                </c:pt>
                <c:pt idx="2">
                  <c:v>NON-HISPANIC BLACK</c:v>
                </c:pt>
                <c:pt idx="3">
                  <c:v>NON-HISPANIC WHITE</c:v>
                </c:pt>
              </c:strCache>
            </c:strRef>
          </c:cat>
          <c:val>
            <c:numRef>
              <c:f>Sheet1!$C$5:$C$9</c:f>
              <c:numCache>
                <c:formatCode>General</c:formatCode>
                <c:ptCount val="4"/>
                <c:pt idx="1">
                  <c:v>24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53213264"/>
        <c:axId val="253213656"/>
      </c:barChart>
      <c:catAx>
        <c:axId val="253213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213656"/>
        <c:crosses val="autoZero"/>
        <c:auto val="1"/>
        <c:lblAlgn val="ctr"/>
        <c:lblOffset val="100"/>
        <c:noMultiLvlLbl val="0"/>
      </c:catAx>
      <c:valAx>
        <c:axId val="253213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21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 York City Leading Causes of Death-Raw Data.xlsx]Sheet1!PivotTable1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Deaths by Ethnicity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Sheet1!$A$4:$A$8</c:f>
              <c:strCache>
                <c:ptCount val="4"/>
                <c:pt idx="0">
                  <c:v>ASIAN &amp; PACIFIC ISLANDER</c:v>
                </c:pt>
                <c:pt idx="1">
                  <c:v>HISPANIC</c:v>
                </c:pt>
                <c:pt idx="2">
                  <c:v>NON-HISPANIC BLACK</c:v>
                </c:pt>
                <c:pt idx="3">
                  <c:v>NON-HISPANIC WHITE</c:v>
                </c:pt>
              </c:strCache>
            </c:strRef>
          </c:cat>
          <c:val>
            <c:numRef>
              <c:f>Sheet1!$B$4:$B$8</c:f>
              <c:numCache>
                <c:formatCode>General</c:formatCode>
                <c:ptCount val="4"/>
                <c:pt idx="0">
                  <c:v>41469</c:v>
                </c:pt>
                <c:pt idx="1">
                  <c:v>123036</c:v>
                </c:pt>
                <c:pt idx="2">
                  <c:v>187431</c:v>
                </c:pt>
                <c:pt idx="3">
                  <c:v>362925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 York City Leading Causes of Death-Raw Data.xlsx]Sheet1!PivotTable1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Death by Sex and Ethnicity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Sheet1!$A$4:$A$14</c:f>
              <c:multiLvlStrCache>
                <c:ptCount val="8"/>
                <c:lvl>
                  <c:pt idx="0">
                    <c:v>ASIAN &amp; PACIFIC ISLANDER</c:v>
                  </c:pt>
                  <c:pt idx="1">
                    <c:v>HISPANIC</c:v>
                  </c:pt>
                  <c:pt idx="2">
                    <c:v>NON-HISPANIC BLACK</c:v>
                  </c:pt>
                  <c:pt idx="3">
                    <c:v>NON-HISPANIC WHITE</c:v>
                  </c:pt>
                  <c:pt idx="4">
                    <c:v>ASIAN &amp; PACIFIC ISLANDER</c:v>
                  </c:pt>
                  <c:pt idx="5">
                    <c:v>HISPANIC</c:v>
                  </c:pt>
                  <c:pt idx="6">
                    <c:v>NON-HISPANIC BLACK</c:v>
                  </c:pt>
                  <c:pt idx="7">
                    <c:v>NON-HISPANIC WHITE</c:v>
                  </c:pt>
                </c:lvl>
                <c:lvl>
                  <c:pt idx="0">
                    <c:v>FEMALE</c:v>
                  </c:pt>
                  <c:pt idx="4">
                    <c:v>MALE</c:v>
                  </c:pt>
                </c:lvl>
              </c:multiLvlStrCache>
            </c:multiLvlStrRef>
          </c:cat>
          <c:val>
            <c:numRef>
              <c:f>Sheet1!$B$4:$B$14</c:f>
              <c:numCache>
                <c:formatCode>General</c:formatCode>
                <c:ptCount val="8"/>
                <c:pt idx="0">
                  <c:v>18381</c:v>
                </c:pt>
                <c:pt idx="1">
                  <c:v>57846</c:v>
                </c:pt>
                <c:pt idx="2">
                  <c:v>97818</c:v>
                </c:pt>
                <c:pt idx="3">
                  <c:v>188973</c:v>
                </c:pt>
                <c:pt idx="4">
                  <c:v>23088</c:v>
                </c:pt>
                <c:pt idx="5">
                  <c:v>65190</c:v>
                </c:pt>
                <c:pt idx="6">
                  <c:v>89613</c:v>
                </c:pt>
                <c:pt idx="7">
                  <c:v>173952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04406600"/>
        <c:axId val="304407776"/>
      </c:barChart>
      <c:catAx>
        <c:axId val="3044066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407776"/>
        <c:crosses val="autoZero"/>
        <c:auto val="1"/>
        <c:lblAlgn val="ctr"/>
        <c:lblOffset val="100"/>
        <c:noMultiLvlLbl val="0"/>
      </c:catAx>
      <c:valAx>
        <c:axId val="304407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406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Herrera</dc:creator>
  <cp:keywords/>
  <dc:description/>
  <cp:lastModifiedBy>Herrera, Michael R</cp:lastModifiedBy>
  <cp:revision>2</cp:revision>
  <dcterms:created xsi:type="dcterms:W3CDTF">2016-03-09T02:43:00Z</dcterms:created>
  <dcterms:modified xsi:type="dcterms:W3CDTF">2016-03-09T02:43:00Z</dcterms:modified>
</cp:coreProperties>
</file>