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7E3" w14:textId="09FF8239" w:rsidR="00856E84" w:rsidRPr="0016778C" w:rsidRDefault="366206DC" w:rsidP="00990BDB">
      <w:pPr>
        <w:jc w:val="center"/>
        <w:rPr>
          <w:rFonts w:ascii="Tahoma" w:eastAsia="Tahoma" w:hAnsi="Tahoma" w:cs="Tahoma"/>
          <w:b/>
          <w:bCs/>
          <w:sz w:val="32"/>
          <w:szCs w:val="32"/>
        </w:rPr>
      </w:pPr>
      <w:r w:rsidRPr="0016778C">
        <w:rPr>
          <w:rFonts w:ascii="Tahoma" w:eastAsia="Tahoma" w:hAnsi="Tahoma" w:cs="Tahoma"/>
          <w:b/>
          <w:bCs/>
          <w:sz w:val="32"/>
          <w:szCs w:val="32"/>
        </w:rPr>
        <w:t>TD- étude de cas</w:t>
      </w:r>
    </w:p>
    <w:p w14:paraId="0C17613E" w14:textId="4D860FA4" w:rsidR="00856E84" w:rsidRPr="0016778C" w:rsidRDefault="00856E84" w:rsidP="366206DC">
      <w:pPr>
        <w:jc w:val="center"/>
        <w:rPr>
          <w:rFonts w:ascii="Tahoma" w:eastAsia="Tahoma" w:hAnsi="Tahoma" w:cs="Tahoma"/>
          <w:b/>
          <w:bCs/>
          <w:sz w:val="32"/>
          <w:szCs w:val="32"/>
        </w:rPr>
      </w:pPr>
    </w:p>
    <w:p w14:paraId="2F0CA077" w14:textId="58BEA702" w:rsidR="00856E84" w:rsidRPr="0016778C" w:rsidRDefault="366206DC" w:rsidP="366206DC">
      <w:pPr>
        <w:jc w:val="center"/>
      </w:pPr>
      <w:r w:rsidRPr="0016778C">
        <w:rPr>
          <w:rFonts w:ascii="Tahoma" w:eastAsia="Tahoma" w:hAnsi="Tahoma" w:cs="Tahoma"/>
          <w:b/>
          <w:bCs/>
          <w:sz w:val="32"/>
          <w:szCs w:val="32"/>
        </w:rPr>
        <w:t>Parcours : SRI</w:t>
      </w:r>
    </w:p>
    <w:p w14:paraId="0AB9880B" w14:textId="55AFE4AC" w:rsidR="00856E84" w:rsidRPr="0016778C" w:rsidRDefault="366206DC" w:rsidP="366206DC">
      <w:pPr>
        <w:jc w:val="center"/>
      </w:pPr>
      <w:r w:rsidRPr="0016778C">
        <w:rPr>
          <w:rFonts w:ascii="Tahoma" w:eastAsia="Tahoma" w:hAnsi="Tahoma" w:cs="Tahoma"/>
          <w:b/>
          <w:bCs/>
          <w:sz w:val="32"/>
          <w:szCs w:val="32"/>
        </w:rPr>
        <w:t xml:space="preserve"> </w:t>
      </w:r>
    </w:p>
    <w:p w14:paraId="0113EEA2" w14:textId="3656EC19" w:rsidR="00856E84" w:rsidRPr="0016778C" w:rsidRDefault="366206DC" w:rsidP="366206DC">
      <w:pPr>
        <w:jc w:val="center"/>
      </w:pPr>
      <w:r w:rsidRPr="0016778C">
        <w:rPr>
          <w:rFonts w:ascii="Tahoma" w:eastAsia="Tahoma" w:hAnsi="Tahoma" w:cs="Tahoma"/>
          <w:b/>
          <w:bCs/>
          <w:sz w:val="32"/>
          <w:szCs w:val="32"/>
        </w:rPr>
        <w:t xml:space="preserve"> </w:t>
      </w:r>
    </w:p>
    <w:p w14:paraId="5FE579CE" w14:textId="508E8156" w:rsidR="00856E84" w:rsidRPr="0016778C" w:rsidRDefault="366206DC" w:rsidP="366206DC">
      <w:pPr>
        <w:jc w:val="center"/>
      </w:pPr>
      <w:r w:rsidRPr="0016778C">
        <w:rPr>
          <w:rFonts w:ascii="Tahoma" w:eastAsia="Tahoma" w:hAnsi="Tahoma" w:cs="Tahoma"/>
          <w:b/>
          <w:bCs/>
          <w:sz w:val="32"/>
          <w:szCs w:val="32"/>
        </w:rPr>
        <w:t>N° TD / Nom EDC :</w:t>
      </w:r>
    </w:p>
    <w:p w14:paraId="2C81E359" w14:textId="6F39ED7F" w:rsidR="5AF5D716" w:rsidRPr="0016778C" w:rsidRDefault="5AF5D716" w:rsidP="5AF5D716">
      <w:pPr>
        <w:jc w:val="center"/>
      </w:pPr>
      <w:r w:rsidRPr="0016778C">
        <w:rPr>
          <w:rFonts w:ascii="Tahoma" w:eastAsia="Tahoma" w:hAnsi="Tahoma" w:cs="Tahoma"/>
          <w:b/>
          <w:bCs/>
          <w:sz w:val="32"/>
          <w:szCs w:val="32"/>
        </w:rPr>
        <w:t xml:space="preserve">Consolidation dans l’industrie </w:t>
      </w:r>
      <w:r w:rsidR="22137F7A" w:rsidRPr="0016778C">
        <w:rPr>
          <w:rFonts w:ascii="Tahoma" w:eastAsia="Tahoma" w:hAnsi="Tahoma" w:cs="Tahoma"/>
          <w:b/>
          <w:bCs/>
          <w:sz w:val="32"/>
          <w:szCs w:val="32"/>
        </w:rPr>
        <w:t>sidérurgique</w:t>
      </w:r>
    </w:p>
    <w:p w14:paraId="6BB66012" w14:textId="3263A656" w:rsidR="00856E84" w:rsidRPr="0016778C" w:rsidRDefault="366206DC" w:rsidP="366206DC">
      <w:pPr>
        <w:jc w:val="center"/>
      </w:pPr>
      <w:r w:rsidRPr="0016778C">
        <w:rPr>
          <w:rFonts w:ascii="Tahoma" w:eastAsia="Tahoma" w:hAnsi="Tahoma" w:cs="Tahoma"/>
          <w:b/>
          <w:bCs/>
          <w:sz w:val="32"/>
          <w:szCs w:val="32"/>
        </w:rPr>
        <w:t xml:space="preserve"> </w:t>
      </w:r>
    </w:p>
    <w:p w14:paraId="6C03DC13" w14:textId="2F9A5964" w:rsidR="00856E84" w:rsidRPr="0016778C" w:rsidRDefault="366206DC" w:rsidP="366206DC">
      <w:pPr>
        <w:jc w:val="center"/>
      </w:pPr>
      <w:r w:rsidRPr="0016778C">
        <w:rPr>
          <w:rFonts w:ascii="Tahoma" w:eastAsia="Tahoma" w:hAnsi="Tahoma" w:cs="Tahoma"/>
          <w:b/>
          <w:bCs/>
          <w:sz w:val="32"/>
          <w:szCs w:val="32"/>
        </w:rPr>
        <w:t xml:space="preserve"> </w:t>
      </w:r>
    </w:p>
    <w:p w14:paraId="219CD35F" w14:textId="5972474F" w:rsidR="00856E84" w:rsidRPr="0016778C" w:rsidRDefault="366206DC" w:rsidP="366206DC">
      <w:pPr>
        <w:jc w:val="center"/>
      </w:pPr>
      <w:r w:rsidRPr="0016778C">
        <w:rPr>
          <w:rFonts w:ascii="Tahoma" w:eastAsia="Tahoma" w:hAnsi="Tahoma" w:cs="Tahoma"/>
          <w:b/>
          <w:bCs/>
          <w:sz w:val="32"/>
          <w:szCs w:val="32"/>
        </w:rPr>
        <w:t>N° groupe : 5</w:t>
      </w:r>
    </w:p>
    <w:p w14:paraId="7A26B171" w14:textId="6D4879A5" w:rsidR="00856E84" w:rsidRPr="0016778C" w:rsidRDefault="366206DC" w:rsidP="366206DC">
      <w:pPr>
        <w:rPr>
          <w:rFonts w:ascii="Tahoma" w:eastAsia="Tahoma" w:hAnsi="Tahoma" w:cs="Tahoma"/>
          <w:b/>
          <w:bCs/>
          <w:sz w:val="32"/>
          <w:szCs w:val="32"/>
        </w:rPr>
      </w:pPr>
      <w:r w:rsidRPr="0016778C">
        <w:rPr>
          <w:rFonts w:ascii="Tahoma" w:eastAsia="Tahoma" w:hAnsi="Tahoma" w:cs="Tahoma"/>
          <w:b/>
          <w:bCs/>
          <w:sz w:val="32"/>
          <w:szCs w:val="32"/>
        </w:rPr>
        <w:t xml:space="preserve">                                </w:t>
      </w:r>
      <w:r w:rsidR="00856E84" w:rsidRPr="0016778C">
        <w:tab/>
      </w:r>
      <w:r w:rsidR="00856E84" w:rsidRPr="0016778C">
        <w:tab/>
      </w:r>
      <w:r w:rsidR="00856E84" w:rsidRPr="0016778C">
        <w:tab/>
      </w:r>
    </w:p>
    <w:p w14:paraId="5E9FA6F2" w14:textId="587AE26B" w:rsidR="00856E84" w:rsidRPr="0016778C" w:rsidRDefault="366206DC" w:rsidP="366206DC">
      <w:r w:rsidRPr="0016778C">
        <w:rPr>
          <w:rFonts w:ascii="Tahoma" w:eastAsia="Tahoma" w:hAnsi="Tahoma" w:cs="Tahoma"/>
          <w:b/>
          <w:bCs/>
          <w:sz w:val="32"/>
          <w:szCs w:val="32"/>
        </w:rPr>
        <w:t xml:space="preserve"> </w:t>
      </w:r>
    </w:p>
    <w:p w14:paraId="579B8928" w14:textId="76141BEF" w:rsidR="00856E84" w:rsidRPr="0016778C" w:rsidRDefault="366206DC" w:rsidP="366206DC">
      <w:r w:rsidRPr="0016778C">
        <w:rPr>
          <w:rFonts w:ascii="Tahoma" w:eastAsia="Tahoma" w:hAnsi="Tahoma" w:cs="Tahoma"/>
          <w:b/>
          <w:bCs/>
          <w:sz w:val="32"/>
          <w:szCs w:val="32"/>
        </w:rPr>
        <w:t xml:space="preserve"> </w:t>
      </w:r>
    </w:p>
    <w:p w14:paraId="27C303E4" w14:textId="7E9C59E8" w:rsidR="00856E84" w:rsidRPr="0016778C" w:rsidRDefault="366206DC" w:rsidP="366206DC">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Antoine CLEMENT-MALICK</w:t>
      </w:r>
    </w:p>
    <w:p w14:paraId="4ACEB364" w14:textId="653856C1" w:rsidR="130EA8DE" w:rsidRPr="0016778C" w:rsidRDefault="130EA8DE" w:rsidP="130EA8DE">
      <w:pPr>
        <w:spacing w:line="360" w:lineRule="auto"/>
      </w:pPr>
      <w:r w:rsidRPr="0016778C">
        <w:rPr>
          <w:rFonts w:ascii="Tahoma" w:eastAsia="Tahoma" w:hAnsi="Tahoma" w:cs="Tahoma"/>
          <w:b/>
          <w:bCs/>
          <w:sz w:val="32"/>
          <w:szCs w:val="32"/>
        </w:rPr>
        <w:t xml:space="preserve">Etudiant : </w:t>
      </w:r>
      <w:proofErr w:type="spellStart"/>
      <w:r w:rsidRPr="0016778C">
        <w:rPr>
          <w:rFonts w:ascii="Tahoma" w:eastAsia="Tahoma" w:hAnsi="Tahoma" w:cs="Tahoma"/>
          <w:sz w:val="32"/>
          <w:szCs w:val="32"/>
        </w:rPr>
        <w:t>Mouléro</w:t>
      </w:r>
      <w:proofErr w:type="spellEnd"/>
      <w:r w:rsidRPr="0016778C">
        <w:rPr>
          <w:rFonts w:ascii="Tahoma" w:eastAsia="Tahoma" w:hAnsi="Tahoma" w:cs="Tahoma"/>
          <w:sz w:val="32"/>
          <w:szCs w:val="32"/>
        </w:rPr>
        <w:t xml:space="preserve"> DEGBEGNI</w:t>
      </w:r>
    </w:p>
    <w:p w14:paraId="47917607" w14:textId="2997791A" w:rsidR="00856E84" w:rsidRPr="0016778C" w:rsidRDefault="130EA8DE" w:rsidP="366206DC">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Elio GENSON</w:t>
      </w:r>
    </w:p>
    <w:p w14:paraId="281AA5FD" w14:textId="724A845F" w:rsidR="130EA8DE" w:rsidRPr="0016778C" w:rsidRDefault="130EA8DE" w:rsidP="130EA8DE">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Alexis GIBERT</w:t>
      </w:r>
    </w:p>
    <w:p w14:paraId="0988F0EC" w14:textId="670D0E44" w:rsidR="00856E84" w:rsidRPr="0016778C" w:rsidRDefault="130EA8DE" w:rsidP="366206DC">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Eliot PAZZÉ</w:t>
      </w:r>
    </w:p>
    <w:p w14:paraId="70B58848" w14:textId="260CF3E3" w:rsidR="33AFD818" w:rsidRPr="0016778C" w:rsidRDefault="33AFD818" w:rsidP="33AFD818">
      <w:pPr>
        <w:spacing w:line="360" w:lineRule="auto"/>
        <w:rPr>
          <w:rFonts w:ascii="Tahoma" w:eastAsia="Tahoma" w:hAnsi="Tahoma" w:cs="Tahoma"/>
          <w:sz w:val="32"/>
          <w:szCs w:val="32"/>
        </w:rPr>
      </w:pPr>
    </w:p>
    <w:p w14:paraId="6C8C1BCD" w14:textId="18758062" w:rsidR="00856E84" w:rsidRPr="0016778C" w:rsidRDefault="366206DC" w:rsidP="366206DC">
      <w:r w:rsidRPr="0016778C">
        <w:rPr>
          <w:rFonts w:ascii="Tahoma" w:eastAsia="Tahoma" w:hAnsi="Tahoma" w:cs="Tahoma"/>
          <w:b/>
          <w:bCs/>
          <w:sz w:val="32"/>
          <w:szCs w:val="32"/>
        </w:rPr>
        <w:t xml:space="preserve"> </w:t>
      </w:r>
    </w:p>
    <w:p w14:paraId="281EE8B4" w14:textId="06F4BE15" w:rsidR="00856E84" w:rsidRPr="0016778C" w:rsidRDefault="366206DC" w:rsidP="366206DC">
      <w:r w:rsidRPr="0016778C">
        <w:rPr>
          <w:rFonts w:ascii="Tahoma" w:eastAsia="Tahoma" w:hAnsi="Tahoma" w:cs="Tahoma"/>
          <w:b/>
          <w:bCs/>
          <w:sz w:val="32"/>
          <w:szCs w:val="32"/>
        </w:rPr>
        <w:t xml:space="preserve"> </w:t>
      </w:r>
    </w:p>
    <w:p w14:paraId="6B9E2FB2" w14:textId="185C740D" w:rsidR="00856E84" w:rsidRPr="0016778C" w:rsidRDefault="000126DD" w:rsidP="000126DD">
      <w:pPr>
        <w:rPr>
          <w:rFonts w:ascii="Tahoma" w:eastAsia="Tahoma" w:hAnsi="Tahoma" w:cs="Tahoma"/>
          <w:b/>
          <w:bCs/>
          <w:sz w:val="32"/>
          <w:szCs w:val="32"/>
        </w:rPr>
      </w:pPr>
      <w:r w:rsidRPr="0016778C">
        <w:rPr>
          <w:rFonts w:ascii="Tahoma" w:eastAsia="Tahoma" w:hAnsi="Tahoma" w:cs="Tahoma"/>
          <w:b/>
          <w:bCs/>
          <w:sz w:val="32"/>
          <w:szCs w:val="32"/>
        </w:rPr>
        <w:br w:type="page"/>
      </w:r>
    </w:p>
    <w:sdt>
      <w:sdtPr>
        <w:rPr>
          <w:rFonts w:ascii="Poppins Light" w:eastAsiaTheme="minorHAnsi" w:hAnsi="Poppins Light" w:cstheme="minorBidi"/>
          <w:color w:val="auto"/>
          <w:sz w:val="18"/>
          <w:szCs w:val="22"/>
          <w:lang w:val="fr-FR" w:eastAsia="en-US"/>
        </w:rPr>
        <w:id w:val="1267454985"/>
        <w:docPartObj>
          <w:docPartGallery w:val="Table of Contents"/>
          <w:docPartUnique/>
        </w:docPartObj>
      </w:sdtPr>
      <w:sdtContent>
        <w:p w14:paraId="665FD896" w14:textId="338F1A1F" w:rsidR="00990BDB" w:rsidRPr="0016778C" w:rsidRDefault="00990BDB" w:rsidP="00990BDB">
          <w:pPr>
            <w:pStyle w:val="En-ttedetabledesmatires"/>
            <w:numPr>
              <w:ilvl w:val="0"/>
              <w:numId w:val="0"/>
            </w:numPr>
            <w:ind w:left="432" w:hanging="432"/>
            <w:rPr>
              <w:rFonts w:ascii="Poppins Bold" w:hAnsi="Poppins Bold" w:hint="eastAsia"/>
              <w:color w:val="auto"/>
              <w:lang w:val="fr-FR"/>
            </w:rPr>
          </w:pPr>
          <w:r w:rsidRPr="0016778C">
            <w:rPr>
              <w:rFonts w:ascii="Poppins Bold" w:hAnsi="Poppins Bold"/>
              <w:color w:val="auto"/>
              <w:lang w:val="fr-FR"/>
            </w:rPr>
            <w:t>Table des matières</w:t>
          </w:r>
        </w:p>
        <w:p w14:paraId="004B4B06" w14:textId="77777777" w:rsidR="00990BDB" w:rsidRPr="0016778C" w:rsidRDefault="00990BDB">
          <w:pPr>
            <w:pStyle w:val="TM1"/>
            <w:tabs>
              <w:tab w:val="left" w:pos="440"/>
              <w:tab w:val="right" w:leader="dot" w:pos="9016"/>
            </w:tabs>
          </w:pPr>
        </w:p>
        <w:p w14:paraId="516C1F8B" w14:textId="39ED1C79" w:rsidR="004A5F0D" w:rsidRDefault="00842B27">
          <w:pPr>
            <w:pStyle w:val="TM1"/>
            <w:tabs>
              <w:tab w:val="left" w:pos="440"/>
              <w:tab w:val="right" w:leader="dot" w:pos="9016"/>
            </w:tabs>
            <w:rPr>
              <w:rFonts w:asciiTheme="minorHAnsi" w:eastAsiaTheme="minorEastAsia" w:hAnsiTheme="minorHAnsi"/>
              <w:noProof/>
              <w:kern w:val="2"/>
              <w:sz w:val="22"/>
              <w:lang w:val="en-GB" w:eastAsia="en-GB"/>
              <w14:ligatures w14:val="standardContextual"/>
            </w:rPr>
          </w:pPr>
          <w:r>
            <w:fldChar w:fldCharType="begin"/>
          </w:r>
          <w:r w:rsidR="00990BDB">
            <w:instrText>TOC \o "1-3" \h \z \u</w:instrText>
          </w:r>
          <w:r>
            <w:fldChar w:fldCharType="separate"/>
          </w:r>
          <w:hyperlink w:anchor="_Toc152798922" w:history="1">
            <w:r w:rsidR="004A5F0D" w:rsidRPr="00321595">
              <w:rPr>
                <w:rStyle w:val="Lienhypertexte"/>
                <w:noProof/>
              </w:rPr>
              <w:t>1</w:t>
            </w:r>
            <w:r w:rsidR="004A5F0D">
              <w:rPr>
                <w:rFonts w:asciiTheme="minorHAnsi" w:eastAsiaTheme="minorEastAsia" w:hAnsiTheme="minorHAnsi"/>
                <w:noProof/>
                <w:kern w:val="2"/>
                <w:sz w:val="22"/>
                <w:lang w:val="en-GB" w:eastAsia="en-GB"/>
                <w14:ligatures w14:val="standardContextual"/>
              </w:rPr>
              <w:tab/>
            </w:r>
            <w:r w:rsidR="004A5F0D" w:rsidRPr="00321595">
              <w:rPr>
                <w:rStyle w:val="Lienhypertexte"/>
                <w:noProof/>
              </w:rPr>
              <w:t>Analyse Porter de l’industrie sidérurgique</w:t>
            </w:r>
            <w:r w:rsidR="004A5F0D">
              <w:rPr>
                <w:noProof/>
                <w:webHidden/>
              </w:rPr>
              <w:tab/>
            </w:r>
            <w:r w:rsidR="004A5F0D">
              <w:rPr>
                <w:noProof/>
                <w:webHidden/>
              </w:rPr>
              <w:fldChar w:fldCharType="begin"/>
            </w:r>
            <w:r w:rsidR="004A5F0D">
              <w:rPr>
                <w:noProof/>
                <w:webHidden/>
              </w:rPr>
              <w:instrText xml:space="preserve"> PAGEREF _Toc152798922 \h </w:instrText>
            </w:r>
            <w:r w:rsidR="004A5F0D">
              <w:rPr>
                <w:noProof/>
                <w:webHidden/>
              </w:rPr>
            </w:r>
            <w:r w:rsidR="004A5F0D">
              <w:rPr>
                <w:noProof/>
                <w:webHidden/>
              </w:rPr>
              <w:fldChar w:fldCharType="separate"/>
            </w:r>
            <w:r w:rsidR="006F6C69">
              <w:rPr>
                <w:noProof/>
                <w:webHidden/>
              </w:rPr>
              <w:t>3</w:t>
            </w:r>
            <w:r w:rsidR="004A5F0D">
              <w:rPr>
                <w:noProof/>
                <w:webHidden/>
              </w:rPr>
              <w:fldChar w:fldCharType="end"/>
            </w:r>
          </w:hyperlink>
        </w:p>
        <w:p w14:paraId="3C02F59B" w14:textId="4367E3BE"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3" w:history="1">
            <w:r w:rsidRPr="00321595">
              <w:rPr>
                <w:rStyle w:val="Lienhypertexte"/>
                <w:bCs/>
                <w:noProof/>
              </w:rPr>
              <w:t>1.1</w:t>
            </w:r>
            <w:r>
              <w:rPr>
                <w:rFonts w:asciiTheme="minorHAnsi" w:eastAsiaTheme="minorEastAsia" w:hAnsiTheme="minorHAnsi"/>
                <w:noProof/>
                <w:kern w:val="2"/>
                <w:sz w:val="22"/>
                <w:lang w:val="en-GB" w:eastAsia="en-GB"/>
                <w14:ligatures w14:val="standardContextual"/>
              </w:rPr>
              <w:tab/>
            </w:r>
            <w:r w:rsidRPr="00321595">
              <w:rPr>
                <w:rStyle w:val="Lienhypertexte"/>
                <w:noProof/>
              </w:rPr>
              <w:t>Menace des entrants potentiels</w:t>
            </w:r>
            <w:r>
              <w:rPr>
                <w:noProof/>
                <w:webHidden/>
              </w:rPr>
              <w:tab/>
            </w:r>
            <w:r>
              <w:rPr>
                <w:noProof/>
                <w:webHidden/>
              </w:rPr>
              <w:fldChar w:fldCharType="begin"/>
            </w:r>
            <w:r>
              <w:rPr>
                <w:noProof/>
                <w:webHidden/>
              </w:rPr>
              <w:instrText xml:space="preserve"> PAGEREF _Toc152798923 \h </w:instrText>
            </w:r>
            <w:r>
              <w:rPr>
                <w:noProof/>
                <w:webHidden/>
              </w:rPr>
            </w:r>
            <w:r>
              <w:rPr>
                <w:noProof/>
                <w:webHidden/>
              </w:rPr>
              <w:fldChar w:fldCharType="separate"/>
            </w:r>
            <w:r w:rsidR="006F6C69">
              <w:rPr>
                <w:noProof/>
                <w:webHidden/>
              </w:rPr>
              <w:t>3</w:t>
            </w:r>
            <w:r>
              <w:rPr>
                <w:noProof/>
                <w:webHidden/>
              </w:rPr>
              <w:fldChar w:fldCharType="end"/>
            </w:r>
          </w:hyperlink>
        </w:p>
        <w:p w14:paraId="58951A8B" w14:textId="14C79484"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4" w:history="1">
            <w:r w:rsidRPr="00321595">
              <w:rPr>
                <w:rStyle w:val="Lienhypertexte"/>
                <w:bCs/>
                <w:noProof/>
              </w:rPr>
              <w:t>1.2</w:t>
            </w:r>
            <w:r>
              <w:rPr>
                <w:rFonts w:asciiTheme="minorHAnsi" w:eastAsiaTheme="minorEastAsia" w:hAnsiTheme="minorHAnsi"/>
                <w:noProof/>
                <w:kern w:val="2"/>
                <w:sz w:val="22"/>
                <w:lang w:val="en-GB" w:eastAsia="en-GB"/>
                <w14:ligatures w14:val="standardContextual"/>
              </w:rPr>
              <w:tab/>
            </w:r>
            <w:r w:rsidRPr="00321595">
              <w:rPr>
                <w:rStyle w:val="Lienhypertexte"/>
                <w:noProof/>
              </w:rPr>
              <w:t>Menace des substituts</w:t>
            </w:r>
            <w:r>
              <w:rPr>
                <w:noProof/>
                <w:webHidden/>
              </w:rPr>
              <w:tab/>
            </w:r>
            <w:r>
              <w:rPr>
                <w:noProof/>
                <w:webHidden/>
              </w:rPr>
              <w:fldChar w:fldCharType="begin"/>
            </w:r>
            <w:r>
              <w:rPr>
                <w:noProof/>
                <w:webHidden/>
              </w:rPr>
              <w:instrText xml:space="preserve"> PAGEREF _Toc152798924 \h </w:instrText>
            </w:r>
            <w:r>
              <w:rPr>
                <w:noProof/>
                <w:webHidden/>
              </w:rPr>
            </w:r>
            <w:r>
              <w:rPr>
                <w:noProof/>
                <w:webHidden/>
              </w:rPr>
              <w:fldChar w:fldCharType="separate"/>
            </w:r>
            <w:r w:rsidR="006F6C69">
              <w:rPr>
                <w:noProof/>
                <w:webHidden/>
              </w:rPr>
              <w:t>3</w:t>
            </w:r>
            <w:r>
              <w:rPr>
                <w:noProof/>
                <w:webHidden/>
              </w:rPr>
              <w:fldChar w:fldCharType="end"/>
            </w:r>
          </w:hyperlink>
        </w:p>
        <w:p w14:paraId="6B281B2A" w14:textId="5E486371"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5" w:history="1">
            <w:r w:rsidRPr="00321595">
              <w:rPr>
                <w:rStyle w:val="Lienhypertexte"/>
                <w:noProof/>
              </w:rPr>
              <w:t>1.3</w:t>
            </w:r>
            <w:r>
              <w:rPr>
                <w:rFonts w:asciiTheme="minorHAnsi" w:eastAsiaTheme="minorEastAsia" w:hAnsiTheme="minorHAnsi"/>
                <w:noProof/>
                <w:kern w:val="2"/>
                <w:sz w:val="22"/>
                <w:lang w:val="en-GB" w:eastAsia="en-GB"/>
                <w14:ligatures w14:val="standardContextual"/>
              </w:rPr>
              <w:tab/>
            </w:r>
            <w:r w:rsidRPr="00321595">
              <w:rPr>
                <w:rStyle w:val="Lienhypertexte"/>
                <w:noProof/>
              </w:rPr>
              <w:t>Pouvoir de négociation des acheteurs</w:t>
            </w:r>
            <w:r>
              <w:rPr>
                <w:noProof/>
                <w:webHidden/>
              </w:rPr>
              <w:tab/>
            </w:r>
            <w:r>
              <w:rPr>
                <w:noProof/>
                <w:webHidden/>
              </w:rPr>
              <w:fldChar w:fldCharType="begin"/>
            </w:r>
            <w:r>
              <w:rPr>
                <w:noProof/>
                <w:webHidden/>
              </w:rPr>
              <w:instrText xml:space="preserve"> PAGEREF _Toc152798925 \h </w:instrText>
            </w:r>
            <w:r>
              <w:rPr>
                <w:noProof/>
                <w:webHidden/>
              </w:rPr>
            </w:r>
            <w:r>
              <w:rPr>
                <w:noProof/>
                <w:webHidden/>
              </w:rPr>
              <w:fldChar w:fldCharType="separate"/>
            </w:r>
            <w:r w:rsidR="006F6C69">
              <w:rPr>
                <w:noProof/>
                <w:webHidden/>
              </w:rPr>
              <w:t>3</w:t>
            </w:r>
            <w:r>
              <w:rPr>
                <w:noProof/>
                <w:webHidden/>
              </w:rPr>
              <w:fldChar w:fldCharType="end"/>
            </w:r>
          </w:hyperlink>
        </w:p>
        <w:p w14:paraId="7CA6FDD6" w14:textId="35CB5D6F"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6" w:history="1">
            <w:r w:rsidRPr="00321595">
              <w:rPr>
                <w:rStyle w:val="Lienhypertexte"/>
                <w:bCs/>
                <w:noProof/>
              </w:rPr>
              <w:t>1.4</w:t>
            </w:r>
            <w:r>
              <w:rPr>
                <w:rFonts w:asciiTheme="minorHAnsi" w:eastAsiaTheme="minorEastAsia" w:hAnsiTheme="minorHAnsi"/>
                <w:noProof/>
                <w:kern w:val="2"/>
                <w:sz w:val="22"/>
                <w:lang w:val="en-GB" w:eastAsia="en-GB"/>
                <w14:ligatures w14:val="standardContextual"/>
              </w:rPr>
              <w:tab/>
            </w:r>
            <w:r w:rsidRPr="00321595">
              <w:rPr>
                <w:rStyle w:val="Lienhypertexte"/>
                <w:noProof/>
              </w:rPr>
              <w:t>Pouvoir de négociation des fournisseurs</w:t>
            </w:r>
            <w:r>
              <w:rPr>
                <w:noProof/>
                <w:webHidden/>
              </w:rPr>
              <w:tab/>
            </w:r>
            <w:r>
              <w:rPr>
                <w:noProof/>
                <w:webHidden/>
              </w:rPr>
              <w:fldChar w:fldCharType="begin"/>
            </w:r>
            <w:r>
              <w:rPr>
                <w:noProof/>
                <w:webHidden/>
              </w:rPr>
              <w:instrText xml:space="preserve"> PAGEREF _Toc152798926 \h </w:instrText>
            </w:r>
            <w:r>
              <w:rPr>
                <w:noProof/>
                <w:webHidden/>
              </w:rPr>
            </w:r>
            <w:r>
              <w:rPr>
                <w:noProof/>
                <w:webHidden/>
              </w:rPr>
              <w:fldChar w:fldCharType="separate"/>
            </w:r>
            <w:r w:rsidR="006F6C69">
              <w:rPr>
                <w:noProof/>
                <w:webHidden/>
              </w:rPr>
              <w:t>4</w:t>
            </w:r>
            <w:r>
              <w:rPr>
                <w:noProof/>
                <w:webHidden/>
              </w:rPr>
              <w:fldChar w:fldCharType="end"/>
            </w:r>
          </w:hyperlink>
        </w:p>
        <w:p w14:paraId="2D64E405" w14:textId="14531E4D"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7" w:history="1">
            <w:r w:rsidRPr="00321595">
              <w:rPr>
                <w:rStyle w:val="Lienhypertexte"/>
                <w:bCs/>
                <w:noProof/>
              </w:rPr>
              <w:t>1.5</w:t>
            </w:r>
            <w:r>
              <w:rPr>
                <w:rFonts w:asciiTheme="minorHAnsi" w:eastAsiaTheme="minorEastAsia" w:hAnsiTheme="minorHAnsi"/>
                <w:noProof/>
                <w:kern w:val="2"/>
                <w:sz w:val="22"/>
                <w:lang w:val="en-GB" w:eastAsia="en-GB"/>
                <w14:ligatures w14:val="standardContextual"/>
              </w:rPr>
              <w:tab/>
            </w:r>
            <w:r w:rsidRPr="00321595">
              <w:rPr>
                <w:rStyle w:val="Lienhypertexte"/>
                <w:noProof/>
              </w:rPr>
              <w:t>Intensité concurrentielle</w:t>
            </w:r>
            <w:r>
              <w:rPr>
                <w:noProof/>
                <w:webHidden/>
              </w:rPr>
              <w:tab/>
            </w:r>
            <w:r>
              <w:rPr>
                <w:noProof/>
                <w:webHidden/>
              </w:rPr>
              <w:fldChar w:fldCharType="begin"/>
            </w:r>
            <w:r>
              <w:rPr>
                <w:noProof/>
                <w:webHidden/>
              </w:rPr>
              <w:instrText xml:space="preserve"> PAGEREF _Toc152798927 \h </w:instrText>
            </w:r>
            <w:r>
              <w:rPr>
                <w:noProof/>
                <w:webHidden/>
              </w:rPr>
            </w:r>
            <w:r>
              <w:rPr>
                <w:noProof/>
                <w:webHidden/>
              </w:rPr>
              <w:fldChar w:fldCharType="separate"/>
            </w:r>
            <w:r w:rsidR="006F6C69">
              <w:rPr>
                <w:noProof/>
                <w:webHidden/>
              </w:rPr>
              <w:t>4</w:t>
            </w:r>
            <w:r>
              <w:rPr>
                <w:noProof/>
                <w:webHidden/>
              </w:rPr>
              <w:fldChar w:fldCharType="end"/>
            </w:r>
          </w:hyperlink>
        </w:p>
        <w:p w14:paraId="128C4F3D" w14:textId="41543996"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8" w:history="1">
            <w:r w:rsidRPr="00321595">
              <w:rPr>
                <w:rStyle w:val="Lienhypertexte"/>
                <w:noProof/>
              </w:rPr>
              <w:t>1.6</w:t>
            </w:r>
            <w:r>
              <w:rPr>
                <w:rFonts w:asciiTheme="minorHAnsi" w:eastAsiaTheme="minorEastAsia" w:hAnsiTheme="minorHAnsi"/>
                <w:noProof/>
                <w:kern w:val="2"/>
                <w:sz w:val="22"/>
                <w:lang w:val="en-GB" w:eastAsia="en-GB"/>
                <w14:ligatures w14:val="standardContextual"/>
              </w:rPr>
              <w:tab/>
            </w:r>
            <w:r w:rsidRPr="00321595">
              <w:rPr>
                <w:rStyle w:val="Lienhypertexte"/>
                <w:noProof/>
              </w:rPr>
              <w:t>Rôle des pouvoirs publics</w:t>
            </w:r>
            <w:r>
              <w:rPr>
                <w:noProof/>
                <w:webHidden/>
              </w:rPr>
              <w:tab/>
            </w:r>
            <w:r>
              <w:rPr>
                <w:noProof/>
                <w:webHidden/>
              </w:rPr>
              <w:fldChar w:fldCharType="begin"/>
            </w:r>
            <w:r>
              <w:rPr>
                <w:noProof/>
                <w:webHidden/>
              </w:rPr>
              <w:instrText xml:space="preserve"> PAGEREF _Toc152798928 \h </w:instrText>
            </w:r>
            <w:r>
              <w:rPr>
                <w:noProof/>
                <w:webHidden/>
              </w:rPr>
            </w:r>
            <w:r>
              <w:rPr>
                <w:noProof/>
                <w:webHidden/>
              </w:rPr>
              <w:fldChar w:fldCharType="separate"/>
            </w:r>
            <w:r w:rsidR="006F6C69">
              <w:rPr>
                <w:noProof/>
                <w:webHidden/>
              </w:rPr>
              <w:t>4</w:t>
            </w:r>
            <w:r>
              <w:rPr>
                <w:noProof/>
                <w:webHidden/>
              </w:rPr>
              <w:fldChar w:fldCharType="end"/>
            </w:r>
          </w:hyperlink>
        </w:p>
        <w:p w14:paraId="2BC88C36" w14:textId="356915E1"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29" w:history="1">
            <w:r w:rsidRPr="00321595">
              <w:rPr>
                <w:rStyle w:val="Lienhypertexte"/>
                <w:noProof/>
              </w:rPr>
              <w:t>1.7</w:t>
            </w:r>
            <w:r>
              <w:rPr>
                <w:rFonts w:asciiTheme="minorHAnsi" w:eastAsiaTheme="minorEastAsia" w:hAnsiTheme="minorHAnsi"/>
                <w:noProof/>
                <w:kern w:val="2"/>
                <w:sz w:val="22"/>
                <w:lang w:val="en-GB" w:eastAsia="en-GB"/>
                <w14:ligatures w14:val="standardContextual"/>
              </w:rPr>
              <w:tab/>
            </w:r>
            <w:r w:rsidRPr="00321595">
              <w:rPr>
                <w:rStyle w:val="Lienhypertexte"/>
                <w:noProof/>
              </w:rPr>
              <w:t>Hexagones sectoriels</w:t>
            </w:r>
            <w:r>
              <w:rPr>
                <w:noProof/>
                <w:webHidden/>
              </w:rPr>
              <w:tab/>
            </w:r>
            <w:r>
              <w:rPr>
                <w:noProof/>
                <w:webHidden/>
              </w:rPr>
              <w:fldChar w:fldCharType="begin"/>
            </w:r>
            <w:r>
              <w:rPr>
                <w:noProof/>
                <w:webHidden/>
              </w:rPr>
              <w:instrText xml:space="preserve"> PAGEREF _Toc152798929 \h </w:instrText>
            </w:r>
            <w:r>
              <w:rPr>
                <w:noProof/>
                <w:webHidden/>
              </w:rPr>
            </w:r>
            <w:r>
              <w:rPr>
                <w:noProof/>
                <w:webHidden/>
              </w:rPr>
              <w:fldChar w:fldCharType="separate"/>
            </w:r>
            <w:r w:rsidR="006F6C69">
              <w:rPr>
                <w:noProof/>
                <w:webHidden/>
              </w:rPr>
              <w:t>5</w:t>
            </w:r>
            <w:r>
              <w:rPr>
                <w:noProof/>
                <w:webHidden/>
              </w:rPr>
              <w:fldChar w:fldCharType="end"/>
            </w:r>
          </w:hyperlink>
        </w:p>
        <w:p w14:paraId="47B7BE2C" w14:textId="13232E9D"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30" w:history="1">
            <w:r w:rsidRPr="00321595">
              <w:rPr>
                <w:rStyle w:val="Lienhypertexte"/>
                <w:noProof/>
              </w:rPr>
              <w:t>1.8</w:t>
            </w:r>
            <w:r>
              <w:rPr>
                <w:rFonts w:asciiTheme="minorHAnsi" w:eastAsiaTheme="minorEastAsia" w:hAnsiTheme="minorHAnsi"/>
                <w:noProof/>
                <w:kern w:val="2"/>
                <w:sz w:val="22"/>
                <w:lang w:val="en-GB" w:eastAsia="en-GB"/>
                <w14:ligatures w14:val="standardContextual"/>
              </w:rPr>
              <w:tab/>
            </w:r>
            <w:r w:rsidRPr="00321595">
              <w:rPr>
                <w:rStyle w:val="Lienhypertexte"/>
                <w:noProof/>
              </w:rPr>
              <w:t>Conclusions sur les données extraites</w:t>
            </w:r>
            <w:r>
              <w:rPr>
                <w:noProof/>
                <w:webHidden/>
              </w:rPr>
              <w:tab/>
            </w:r>
            <w:r>
              <w:rPr>
                <w:noProof/>
                <w:webHidden/>
              </w:rPr>
              <w:fldChar w:fldCharType="begin"/>
            </w:r>
            <w:r>
              <w:rPr>
                <w:noProof/>
                <w:webHidden/>
              </w:rPr>
              <w:instrText xml:space="preserve"> PAGEREF _Toc152798930 \h </w:instrText>
            </w:r>
            <w:r>
              <w:rPr>
                <w:noProof/>
                <w:webHidden/>
              </w:rPr>
            </w:r>
            <w:r>
              <w:rPr>
                <w:noProof/>
                <w:webHidden/>
              </w:rPr>
              <w:fldChar w:fldCharType="separate"/>
            </w:r>
            <w:r w:rsidR="006F6C69">
              <w:rPr>
                <w:noProof/>
                <w:webHidden/>
              </w:rPr>
              <w:t>5</w:t>
            </w:r>
            <w:r>
              <w:rPr>
                <w:noProof/>
                <w:webHidden/>
              </w:rPr>
              <w:fldChar w:fldCharType="end"/>
            </w:r>
          </w:hyperlink>
        </w:p>
        <w:p w14:paraId="6F076D8E" w14:textId="2B1E5062" w:rsidR="004A5F0D" w:rsidRDefault="004A5F0D">
          <w:pPr>
            <w:pStyle w:val="TM1"/>
            <w:tabs>
              <w:tab w:val="left" w:pos="440"/>
              <w:tab w:val="right" w:leader="dot" w:pos="9016"/>
            </w:tabs>
            <w:rPr>
              <w:rFonts w:asciiTheme="minorHAnsi" w:eastAsiaTheme="minorEastAsia" w:hAnsiTheme="minorHAnsi"/>
              <w:noProof/>
              <w:kern w:val="2"/>
              <w:sz w:val="22"/>
              <w:lang w:val="en-GB" w:eastAsia="en-GB"/>
              <w14:ligatures w14:val="standardContextual"/>
            </w:rPr>
          </w:pPr>
          <w:hyperlink w:anchor="_Toc152798931" w:history="1">
            <w:r w:rsidRPr="00321595">
              <w:rPr>
                <w:rStyle w:val="Lienhypertexte"/>
                <w:noProof/>
              </w:rPr>
              <w:t>2</w:t>
            </w:r>
            <w:r>
              <w:rPr>
                <w:rFonts w:asciiTheme="minorHAnsi" w:eastAsiaTheme="minorEastAsia" w:hAnsiTheme="minorHAnsi"/>
                <w:noProof/>
                <w:kern w:val="2"/>
                <w:sz w:val="22"/>
                <w:lang w:val="en-GB" w:eastAsia="en-GB"/>
                <w14:ligatures w14:val="standardContextual"/>
              </w:rPr>
              <w:tab/>
            </w:r>
            <w:r w:rsidRPr="00321595">
              <w:rPr>
                <w:rStyle w:val="Lienhypertexte"/>
                <w:noProof/>
              </w:rPr>
              <w:t>Questions d’avenir</w:t>
            </w:r>
            <w:r>
              <w:rPr>
                <w:noProof/>
                <w:webHidden/>
              </w:rPr>
              <w:tab/>
            </w:r>
            <w:r>
              <w:rPr>
                <w:noProof/>
                <w:webHidden/>
              </w:rPr>
              <w:fldChar w:fldCharType="begin"/>
            </w:r>
            <w:r>
              <w:rPr>
                <w:noProof/>
                <w:webHidden/>
              </w:rPr>
              <w:instrText xml:space="preserve"> PAGEREF _Toc152798931 \h </w:instrText>
            </w:r>
            <w:r>
              <w:rPr>
                <w:noProof/>
                <w:webHidden/>
              </w:rPr>
            </w:r>
            <w:r>
              <w:rPr>
                <w:noProof/>
                <w:webHidden/>
              </w:rPr>
              <w:fldChar w:fldCharType="separate"/>
            </w:r>
            <w:r w:rsidR="006F6C69">
              <w:rPr>
                <w:noProof/>
                <w:webHidden/>
              </w:rPr>
              <w:t>6</w:t>
            </w:r>
            <w:r>
              <w:rPr>
                <w:noProof/>
                <w:webHidden/>
              </w:rPr>
              <w:fldChar w:fldCharType="end"/>
            </w:r>
          </w:hyperlink>
        </w:p>
        <w:p w14:paraId="0B02DD0C" w14:textId="725203C3"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32" w:history="1">
            <w:r w:rsidRPr="00321595">
              <w:rPr>
                <w:rStyle w:val="Lienhypertexte"/>
                <w:noProof/>
              </w:rPr>
              <w:t>2.1</w:t>
            </w:r>
            <w:r>
              <w:rPr>
                <w:rFonts w:asciiTheme="minorHAnsi" w:eastAsiaTheme="minorEastAsia" w:hAnsiTheme="minorHAnsi"/>
                <w:noProof/>
                <w:kern w:val="2"/>
                <w:sz w:val="22"/>
                <w:lang w:val="en-GB" w:eastAsia="en-GB"/>
                <w14:ligatures w14:val="standardContextual"/>
              </w:rPr>
              <w:tab/>
            </w:r>
            <w:r w:rsidRPr="00321595">
              <w:rPr>
                <w:rStyle w:val="Lienhypertexte"/>
                <w:noProof/>
              </w:rPr>
              <w:t>Facteurs pouvant rendre l'industrie plus attractive</w:t>
            </w:r>
            <w:r>
              <w:rPr>
                <w:noProof/>
                <w:webHidden/>
              </w:rPr>
              <w:tab/>
            </w:r>
            <w:r>
              <w:rPr>
                <w:noProof/>
                <w:webHidden/>
              </w:rPr>
              <w:fldChar w:fldCharType="begin"/>
            </w:r>
            <w:r>
              <w:rPr>
                <w:noProof/>
                <w:webHidden/>
              </w:rPr>
              <w:instrText xml:space="preserve"> PAGEREF _Toc152798932 \h </w:instrText>
            </w:r>
            <w:r>
              <w:rPr>
                <w:noProof/>
                <w:webHidden/>
              </w:rPr>
            </w:r>
            <w:r>
              <w:rPr>
                <w:noProof/>
                <w:webHidden/>
              </w:rPr>
              <w:fldChar w:fldCharType="separate"/>
            </w:r>
            <w:r w:rsidR="006F6C69">
              <w:rPr>
                <w:noProof/>
                <w:webHidden/>
              </w:rPr>
              <w:t>6</w:t>
            </w:r>
            <w:r>
              <w:rPr>
                <w:noProof/>
                <w:webHidden/>
              </w:rPr>
              <w:fldChar w:fldCharType="end"/>
            </w:r>
          </w:hyperlink>
        </w:p>
        <w:p w14:paraId="07E6BD9A" w14:textId="4509FAB3"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33" w:history="1">
            <w:r w:rsidRPr="00321595">
              <w:rPr>
                <w:rStyle w:val="Lienhypertexte"/>
                <w:noProof/>
              </w:rPr>
              <w:t>2.2</w:t>
            </w:r>
            <w:r>
              <w:rPr>
                <w:rFonts w:asciiTheme="minorHAnsi" w:eastAsiaTheme="minorEastAsia" w:hAnsiTheme="minorHAnsi"/>
                <w:noProof/>
                <w:kern w:val="2"/>
                <w:sz w:val="22"/>
                <w:lang w:val="en-GB" w:eastAsia="en-GB"/>
                <w14:ligatures w14:val="standardContextual"/>
              </w:rPr>
              <w:tab/>
            </w:r>
            <w:r w:rsidRPr="00321595">
              <w:rPr>
                <w:rStyle w:val="Lienhypertexte"/>
                <w:noProof/>
              </w:rPr>
              <w:t>Facteurs pouvant rendre l'industrie moins attractive</w:t>
            </w:r>
            <w:r>
              <w:rPr>
                <w:noProof/>
                <w:webHidden/>
              </w:rPr>
              <w:tab/>
            </w:r>
            <w:r>
              <w:rPr>
                <w:noProof/>
                <w:webHidden/>
              </w:rPr>
              <w:fldChar w:fldCharType="begin"/>
            </w:r>
            <w:r>
              <w:rPr>
                <w:noProof/>
                <w:webHidden/>
              </w:rPr>
              <w:instrText xml:space="preserve"> PAGEREF _Toc152798933 \h </w:instrText>
            </w:r>
            <w:r>
              <w:rPr>
                <w:noProof/>
                <w:webHidden/>
              </w:rPr>
            </w:r>
            <w:r>
              <w:rPr>
                <w:noProof/>
                <w:webHidden/>
              </w:rPr>
              <w:fldChar w:fldCharType="separate"/>
            </w:r>
            <w:r w:rsidR="006F6C69">
              <w:rPr>
                <w:noProof/>
                <w:webHidden/>
              </w:rPr>
              <w:t>6</w:t>
            </w:r>
            <w:r>
              <w:rPr>
                <w:noProof/>
                <w:webHidden/>
              </w:rPr>
              <w:fldChar w:fldCharType="end"/>
            </w:r>
          </w:hyperlink>
        </w:p>
        <w:p w14:paraId="3A045ED0" w14:textId="719E5DD0" w:rsidR="004A5F0D" w:rsidRDefault="004A5F0D">
          <w:pPr>
            <w:pStyle w:val="TM2"/>
            <w:tabs>
              <w:tab w:val="left" w:pos="660"/>
              <w:tab w:val="right" w:leader="dot" w:pos="9016"/>
            </w:tabs>
            <w:rPr>
              <w:rFonts w:asciiTheme="minorHAnsi" w:eastAsiaTheme="minorEastAsia" w:hAnsiTheme="minorHAnsi"/>
              <w:noProof/>
              <w:kern w:val="2"/>
              <w:sz w:val="22"/>
              <w:lang w:val="en-GB" w:eastAsia="en-GB"/>
              <w14:ligatures w14:val="standardContextual"/>
            </w:rPr>
          </w:pPr>
          <w:hyperlink w:anchor="_Toc152798934" w:history="1">
            <w:r w:rsidRPr="00321595">
              <w:rPr>
                <w:rStyle w:val="Lienhypertexte"/>
                <w:noProof/>
              </w:rPr>
              <w:t>2.3</w:t>
            </w:r>
            <w:r>
              <w:rPr>
                <w:rFonts w:asciiTheme="minorHAnsi" w:eastAsiaTheme="minorEastAsia" w:hAnsiTheme="minorHAnsi"/>
                <w:noProof/>
                <w:kern w:val="2"/>
                <w:sz w:val="22"/>
                <w:lang w:val="en-GB" w:eastAsia="en-GB"/>
                <w14:ligatures w14:val="standardContextual"/>
              </w:rPr>
              <w:tab/>
            </w:r>
            <w:r w:rsidRPr="00321595">
              <w:rPr>
                <w:rStyle w:val="Lienhypertexte"/>
                <w:noProof/>
              </w:rPr>
              <w:t>Évolutions potentielles</w:t>
            </w:r>
            <w:r>
              <w:rPr>
                <w:noProof/>
                <w:webHidden/>
              </w:rPr>
              <w:tab/>
            </w:r>
            <w:r>
              <w:rPr>
                <w:noProof/>
                <w:webHidden/>
              </w:rPr>
              <w:fldChar w:fldCharType="begin"/>
            </w:r>
            <w:r>
              <w:rPr>
                <w:noProof/>
                <w:webHidden/>
              </w:rPr>
              <w:instrText xml:space="preserve"> PAGEREF _Toc152798934 \h </w:instrText>
            </w:r>
            <w:r>
              <w:rPr>
                <w:noProof/>
                <w:webHidden/>
              </w:rPr>
            </w:r>
            <w:r>
              <w:rPr>
                <w:noProof/>
                <w:webHidden/>
              </w:rPr>
              <w:fldChar w:fldCharType="separate"/>
            </w:r>
            <w:r w:rsidR="006F6C69">
              <w:rPr>
                <w:noProof/>
                <w:webHidden/>
              </w:rPr>
              <w:t>7</w:t>
            </w:r>
            <w:r>
              <w:rPr>
                <w:noProof/>
                <w:webHidden/>
              </w:rPr>
              <w:fldChar w:fldCharType="end"/>
            </w:r>
          </w:hyperlink>
        </w:p>
        <w:p w14:paraId="54B62F4C" w14:textId="0A810193" w:rsidR="004A5F0D" w:rsidRDefault="004A5F0D">
          <w:pPr>
            <w:pStyle w:val="TM1"/>
            <w:tabs>
              <w:tab w:val="left" w:pos="440"/>
              <w:tab w:val="right" w:leader="dot" w:pos="9016"/>
            </w:tabs>
            <w:rPr>
              <w:rFonts w:asciiTheme="minorHAnsi" w:eastAsiaTheme="minorEastAsia" w:hAnsiTheme="minorHAnsi"/>
              <w:noProof/>
              <w:kern w:val="2"/>
              <w:sz w:val="22"/>
              <w:lang w:val="en-GB" w:eastAsia="en-GB"/>
              <w14:ligatures w14:val="standardContextual"/>
            </w:rPr>
          </w:pPr>
          <w:hyperlink w:anchor="_Toc152798935" w:history="1">
            <w:r w:rsidRPr="00321595">
              <w:rPr>
                <w:rStyle w:val="Lienhypertexte"/>
                <w:noProof/>
              </w:rPr>
              <w:t>3</w:t>
            </w:r>
            <w:r>
              <w:rPr>
                <w:rFonts w:asciiTheme="minorHAnsi" w:eastAsiaTheme="minorEastAsia" w:hAnsiTheme="minorHAnsi"/>
                <w:noProof/>
                <w:kern w:val="2"/>
                <w:sz w:val="22"/>
                <w:lang w:val="en-GB" w:eastAsia="en-GB"/>
                <w14:ligatures w14:val="standardContextual"/>
              </w:rPr>
              <w:tab/>
            </w:r>
            <w:r w:rsidRPr="00321595">
              <w:rPr>
                <w:rStyle w:val="Lienhypertexte"/>
                <w:noProof/>
              </w:rPr>
              <w:t>Conclusion</w:t>
            </w:r>
            <w:r>
              <w:rPr>
                <w:noProof/>
                <w:webHidden/>
              </w:rPr>
              <w:tab/>
            </w:r>
            <w:r>
              <w:rPr>
                <w:noProof/>
                <w:webHidden/>
              </w:rPr>
              <w:fldChar w:fldCharType="begin"/>
            </w:r>
            <w:r>
              <w:rPr>
                <w:noProof/>
                <w:webHidden/>
              </w:rPr>
              <w:instrText xml:space="preserve"> PAGEREF _Toc152798935 \h </w:instrText>
            </w:r>
            <w:r>
              <w:rPr>
                <w:noProof/>
                <w:webHidden/>
              </w:rPr>
            </w:r>
            <w:r>
              <w:rPr>
                <w:noProof/>
                <w:webHidden/>
              </w:rPr>
              <w:fldChar w:fldCharType="separate"/>
            </w:r>
            <w:r w:rsidR="006F6C69">
              <w:rPr>
                <w:noProof/>
                <w:webHidden/>
              </w:rPr>
              <w:t>8</w:t>
            </w:r>
            <w:r>
              <w:rPr>
                <w:noProof/>
                <w:webHidden/>
              </w:rPr>
              <w:fldChar w:fldCharType="end"/>
            </w:r>
          </w:hyperlink>
        </w:p>
        <w:p w14:paraId="2FA7294C" w14:textId="6C41595D" w:rsidR="00842B27" w:rsidRDefault="00842B27" w:rsidP="4817C286">
          <w:pPr>
            <w:pStyle w:val="TM1"/>
            <w:tabs>
              <w:tab w:val="left" w:pos="360"/>
              <w:tab w:val="right" w:leader="dot" w:pos="9015"/>
            </w:tabs>
            <w:rPr>
              <w:rStyle w:val="Lienhypertexte"/>
              <w:noProof/>
              <w:kern w:val="2"/>
              <w:lang w:val="en-GB" w:eastAsia="en-GB"/>
              <w14:ligatures w14:val="standardContextual"/>
            </w:rPr>
          </w:pPr>
          <w:r>
            <w:fldChar w:fldCharType="end"/>
          </w:r>
        </w:p>
      </w:sdtContent>
    </w:sdt>
    <w:p w14:paraId="540FFAD4" w14:textId="3AE80D65" w:rsidR="00990BDB" w:rsidRPr="0016778C" w:rsidRDefault="00990BDB"/>
    <w:p w14:paraId="0604E2E3" w14:textId="328A7D7B" w:rsidR="002455BD" w:rsidRPr="0016778C" w:rsidRDefault="002455BD"/>
    <w:p w14:paraId="24145DAE" w14:textId="77777777" w:rsidR="002455BD" w:rsidRPr="0016778C" w:rsidRDefault="002455BD"/>
    <w:p w14:paraId="7BD0C761" w14:textId="77777777" w:rsidR="002455BD" w:rsidRPr="0016778C" w:rsidRDefault="002455BD"/>
    <w:p w14:paraId="2CA235DD" w14:textId="3C5AA09F" w:rsidR="002455BD" w:rsidRPr="0016778C" w:rsidRDefault="002455BD">
      <w:pPr>
        <w:rPr>
          <w:rFonts w:ascii="Poppins Bold" w:eastAsiaTheme="majorEastAsia" w:hAnsi="Poppins Bold" w:cstheme="majorBidi" w:hint="eastAsia"/>
          <w:sz w:val="32"/>
          <w:szCs w:val="32"/>
        </w:rPr>
      </w:pPr>
      <w:r w:rsidRPr="0016778C">
        <w:br w:type="page"/>
      </w:r>
    </w:p>
    <w:p w14:paraId="5B419585" w14:textId="7A073DE0" w:rsidR="00856E84" w:rsidRPr="0016778C" w:rsidRDefault="130EA8DE" w:rsidP="0050550D">
      <w:pPr>
        <w:pStyle w:val="Titre1"/>
        <w:rPr>
          <w:rFonts w:hint="eastAsia"/>
        </w:rPr>
      </w:pPr>
      <w:bookmarkStart w:id="0" w:name="_Toc1078461076"/>
      <w:bookmarkStart w:id="1" w:name="_Toc152798922"/>
      <w:r w:rsidRPr="0016778C">
        <w:lastRenderedPageBreak/>
        <w:t>Analyse Porter de l’industrie sidérurgique</w:t>
      </w:r>
      <w:bookmarkEnd w:id="0"/>
      <w:bookmarkEnd w:id="1"/>
    </w:p>
    <w:p w14:paraId="43C476D6" w14:textId="77960374" w:rsidR="33AFD818" w:rsidRPr="0016778C" w:rsidRDefault="33AFD818" w:rsidP="00EB1828">
      <w:r w:rsidRPr="0016778C">
        <w:t xml:space="preserve">L'analyse PORTER examine </w:t>
      </w:r>
      <w:r w:rsidR="57CBF116" w:rsidRPr="0016778C">
        <w:t>6</w:t>
      </w:r>
      <w:r w:rsidRPr="0016778C">
        <w:t xml:space="preserve"> forces clés qui façonnent la compétitivité et la dynamique d'une industrie. </w:t>
      </w:r>
      <w:r w:rsidR="00573EF8" w:rsidRPr="0016778C">
        <w:t>Pour chacune de ces forces nous présenterons rapidement</w:t>
      </w:r>
      <w:r w:rsidR="00ED7A8B" w:rsidRPr="0016778C">
        <w:t xml:space="preserve"> son évolution </w:t>
      </w:r>
      <w:r w:rsidR="001949E6" w:rsidRPr="0016778C">
        <w:t>et mett</w:t>
      </w:r>
      <w:r w:rsidR="00573EF8" w:rsidRPr="0016778C">
        <w:t>r</w:t>
      </w:r>
      <w:r w:rsidR="001949E6" w:rsidRPr="0016778C">
        <w:t>on</w:t>
      </w:r>
      <w:r w:rsidR="00CA3E51" w:rsidRPr="0016778C">
        <w:t>s</w:t>
      </w:r>
      <w:r w:rsidR="001949E6" w:rsidRPr="0016778C">
        <w:t xml:space="preserve"> </w:t>
      </w:r>
      <w:r w:rsidR="00CA3E51" w:rsidRPr="0016778C">
        <w:t>l’</w:t>
      </w:r>
      <w:r w:rsidR="001949E6" w:rsidRPr="0016778C">
        <w:t xml:space="preserve">accent sur les données </w:t>
      </w:r>
      <w:r w:rsidR="00CA3E51" w:rsidRPr="0016778C">
        <w:t xml:space="preserve">issue du passé </w:t>
      </w:r>
      <w:r w:rsidR="00601EC2" w:rsidRPr="0016778C">
        <w:t>(</w:t>
      </w:r>
      <w:r w:rsidR="00CA3E51" w:rsidRPr="0016778C">
        <w:t>2008</w:t>
      </w:r>
      <w:r w:rsidR="00601EC2" w:rsidRPr="0016778C">
        <w:t xml:space="preserve">) </w:t>
      </w:r>
      <w:r w:rsidR="001949E6" w:rsidRPr="0016778C">
        <w:t>et d</w:t>
      </w:r>
      <w:r w:rsidR="00CA3E51" w:rsidRPr="0016778C">
        <w:t>’aujourd’hui</w:t>
      </w:r>
      <w:r w:rsidR="001949E6" w:rsidRPr="0016778C">
        <w:t xml:space="preserve"> </w:t>
      </w:r>
      <w:r w:rsidR="00CA3E51" w:rsidRPr="0016778C">
        <w:t>(</w:t>
      </w:r>
      <w:r w:rsidR="001949E6" w:rsidRPr="0016778C">
        <w:t>2018</w:t>
      </w:r>
      <w:r w:rsidR="00CA3E51" w:rsidRPr="0016778C">
        <w:t>)</w:t>
      </w:r>
      <w:r w:rsidR="00BC3149" w:rsidRPr="0016778C">
        <w:t>. De plus,</w:t>
      </w:r>
      <w:r w:rsidR="00A16A98" w:rsidRPr="0016778C">
        <w:t xml:space="preserve"> nous</w:t>
      </w:r>
      <w:r w:rsidR="00BC3149" w:rsidRPr="0016778C">
        <w:t xml:space="preserve"> attribueron</w:t>
      </w:r>
      <w:r w:rsidR="00A16A98" w:rsidRPr="0016778C">
        <w:t>s</w:t>
      </w:r>
      <w:r w:rsidR="00BC3149" w:rsidRPr="0016778C">
        <w:t xml:space="preserve"> des notes en utilisant une échelle de 1 à 5 pour chaque critère (1 étant le moins favorable et 5 le plus favorable) afin de représenter l'hexagone sectoriel pour l'industrie sidérurgique en 2008 et en 2018.</w:t>
      </w:r>
    </w:p>
    <w:p w14:paraId="146F6F37" w14:textId="0194F8C7" w:rsidR="00573EF8" w:rsidRPr="00842B27" w:rsidRDefault="33AFD818" w:rsidP="00842B27">
      <w:pPr>
        <w:pStyle w:val="Titre2"/>
        <w:rPr>
          <w:rStyle w:val="lev"/>
          <w:rFonts w:hint="eastAsia"/>
          <w:b w:val="0"/>
        </w:rPr>
      </w:pPr>
      <w:bookmarkStart w:id="2" w:name="_Toc152798923"/>
      <w:r w:rsidRPr="00842B27">
        <w:rPr>
          <w:rStyle w:val="lev"/>
          <w:b w:val="0"/>
          <w:bCs w:val="0"/>
        </w:rPr>
        <w:t>Menace des entrants</w:t>
      </w:r>
      <w:r w:rsidR="00CC0E5C" w:rsidRPr="00842B27">
        <w:rPr>
          <w:rStyle w:val="lev"/>
          <w:b w:val="0"/>
          <w:bCs w:val="0"/>
        </w:rPr>
        <w:t xml:space="preserve"> potentiels</w:t>
      </w:r>
      <w:bookmarkEnd w:id="2"/>
    </w:p>
    <w:p w14:paraId="5B906880" w14:textId="530B9BDB" w:rsidR="006F63B9" w:rsidRPr="0016778C" w:rsidRDefault="33AFD818" w:rsidP="00573EF8">
      <w:r w:rsidRPr="0016778C">
        <w:t xml:space="preserve">Les coûts de démarrage d'une installation sidérurgique sont massifs, la nécessité d'infrastructures lourdes et de technologie </w:t>
      </w:r>
      <w:r w:rsidR="09021F68" w:rsidRPr="0016778C">
        <w:t>sophistiquée</w:t>
      </w:r>
      <w:r w:rsidRPr="0016778C">
        <w:t xml:space="preserve"> pour rivaliser avec les géants existants constitue un obstacle majeur. Cependant, la croissance rapide de la Chine dans ce secteur indique qu'il est possible pour des économies émergentes de pénétrer le marché.</w:t>
      </w:r>
    </w:p>
    <w:tbl>
      <w:tblPr>
        <w:tblStyle w:val="Grilledutableau"/>
        <w:tblW w:w="0" w:type="auto"/>
        <w:tblLook w:val="04A0" w:firstRow="1" w:lastRow="0" w:firstColumn="1" w:lastColumn="0" w:noHBand="0" w:noVBand="1"/>
      </w:tblPr>
      <w:tblGrid>
        <w:gridCol w:w="1282"/>
        <w:gridCol w:w="4446"/>
        <w:gridCol w:w="3288"/>
      </w:tblGrid>
      <w:tr w:rsidR="00CF6BD9" w:rsidRPr="0016778C" w14:paraId="2608EE2D" w14:textId="77777777" w:rsidTr="004A5D79">
        <w:tc>
          <w:tcPr>
            <w:tcW w:w="0" w:type="auto"/>
            <w:shd w:val="clear" w:color="auto" w:fill="D9D9D9" w:themeFill="background1" w:themeFillShade="D9"/>
          </w:tcPr>
          <w:p w14:paraId="447C71E8" w14:textId="77777777" w:rsidR="00CF6BD9" w:rsidRPr="0016778C" w:rsidRDefault="00CF6BD9" w:rsidP="00403A2F">
            <w:pPr>
              <w:rPr>
                <w:rStyle w:val="lev"/>
              </w:rPr>
            </w:pPr>
            <w:r w:rsidRPr="0016778C">
              <w:rPr>
                <w:rStyle w:val="lev"/>
              </w:rPr>
              <w:t>Année</w:t>
            </w:r>
          </w:p>
        </w:tc>
        <w:tc>
          <w:tcPr>
            <w:tcW w:w="0" w:type="auto"/>
            <w:shd w:val="clear" w:color="auto" w:fill="D9D9D9" w:themeFill="background1" w:themeFillShade="D9"/>
          </w:tcPr>
          <w:p w14:paraId="752A9B62" w14:textId="77777777" w:rsidR="00CF6BD9" w:rsidRPr="0016778C" w:rsidRDefault="00CF6BD9" w:rsidP="00403A2F">
            <w:pPr>
              <w:rPr>
                <w:rStyle w:val="lev"/>
              </w:rPr>
            </w:pPr>
            <w:r w:rsidRPr="0016778C">
              <w:rPr>
                <w:rStyle w:val="lev"/>
              </w:rPr>
              <w:t>2008</w:t>
            </w:r>
          </w:p>
        </w:tc>
        <w:tc>
          <w:tcPr>
            <w:tcW w:w="0" w:type="auto"/>
            <w:shd w:val="clear" w:color="auto" w:fill="D9D9D9" w:themeFill="background1" w:themeFillShade="D9"/>
          </w:tcPr>
          <w:p w14:paraId="7E97F117" w14:textId="77777777" w:rsidR="00CF6BD9" w:rsidRPr="0016778C" w:rsidRDefault="00CF6BD9" w:rsidP="00403A2F">
            <w:pPr>
              <w:rPr>
                <w:rStyle w:val="lev"/>
              </w:rPr>
            </w:pPr>
            <w:r w:rsidRPr="0016778C">
              <w:rPr>
                <w:rStyle w:val="lev"/>
              </w:rPr>
              <w:t>2018</w:t>
            </w:r>
          </w:p>
        </w:tc>
      </w:tr>
      <w:tr w:rsidR="00CF6BD9" w:rsidRPr="0016778C" w14:paraId="6F689E0A" w14:textId="77777777" w:rsidTr="004A5D79">
        <w:tc>
          <w:tcPr>
            <w:tcW w:w="0" w:type="auto"/>
            <w:shd w:val="clear" w:color="auto" w:fill="D9D9D9" w:themeFill="background1" w:themeFillShade="D9"/>
          </w:tcPr>
          <w:p w14:paraId="3FA600B3" w14:textId="77777777" w:rsidR="00CF6BD9" w:rsidRPr="00B07C7E" w:rsidRDefault="00CF6BD9" w:rsidP="00403A2F">
            <w:pPr>
              <w:rPr>
                <w:rStyle w:val="lev"/>
              </w:rPr>
            </w:pPr>
            <w:r w:rsidRPr="00B07C7E">
              <w:rPr>
                <w:rStyle w:val="lev"/>
              </w:rPr>
              <w:t>Description</w:t>
            </w:r>
          </w:p>
        </w:tc>
        <w:tc>
          <w:tcPr>
            <w:tcW w:w="0" w:type="auto"/>
          </w:tcPr>
          <w:p w14:paraId="5E75B063" w14:textId="5E7D67E2" w:rsidR="00CF6BD9" w:rsidRPr="00B07C7E" w:rsidRDefault="008A0EF1" w:rsidP="00403A2F">
            <w:r w:rsidRPr="00B07C7E">
              <w:t>La part de marché des grands acteurs était stable, avec une certaine compétition mais pas de changements majeurs dans la répartition du marché.</w:t>
            </w:r>
          </w:p>
        </w:tc>
        <w:tc>
          <w:tcPr>
            <w:tcW w:w="0" w:type="auto"/>
          </w:tcPr>
          <w:p w14:paraId="63FCAC3D" w14:textId="696A0B86" w:rsidR="00CF6BD9" w:rsidRPr="00B07C7E" w:rsidRDefault="008A0EF1" w:rsidP="00403A2F">
            <w:r w:rsidRPr="00B07C7E">
              <w:t>La situation est restée relativement similaire en 2018, avec une stabilité dans la répartition du marché.</w:t>
            </w:r>
          </w:p>
        </w:tc>
      </w:tr>
      <w:tr w:rsidR="00CF6BD9" w:rsidRPr="0016778C" w14:paraId="4030FB13" w14:textId="77777777" w:rsidTr="004A5D79">
        <w:tc>
          <w:tcPr>
            <w:tcW w:w="0" w:type="auto"/>
            <w:shd w:val="clear" w:color="auto" w:fill="D9D9D9" w:themeFill="background1" w:themeFillShade="D9"/>
          </w:tcPr>
          <w:p w14:paraId="1B83C578" w14:textId="77777777" w:rsidR="00CF6BD9" w:rsidRPr="00B07C7E" w:rsidRDefault="00CF6BD9" w:rsidP="00403A2F">
            <w:pPr>
              <w:rPr>
                <w:rStyle w:val="lev"/>
              </w:rPr>
            </w:pPr>
            <w:r w:rsidRPr="00B07C7E">
              <w:rPr>
                <w:rStyle w:val="lev"/>
              </w:rPr>
              <w:t>Note</w:t>
            </w:r>
          </w:p>
        </w:tc>
        <w:tc>
          <w:tcPr>
            <w:tcW w:w="0" w:type="auto"/>
          </w:tcPr>
          <w:p w14:paraId="293B4C5C" w14:textId="66670CDC" w:rsidR="00CF6BD9" w:rsidRPr="00B07C7E" w:rsidRDefault="008A0EF1" w:rsidP="00403A2F">
            <w:r w:rsidRPr="00B07C7E">
              <w:t>3</w:t>
            </w:r>
            <w:r w:rsidR="005613A6" w:rsidRPr="00B07C7E">
              <w:t>/5</w:t>
            </w:r>
          </w:p>
        </w:tc>
        <w:tc>
          <w:tcPr>
            <w:tcW w:w="0" w:type="auto"/>
          </w:tcPr>
          <w:p w14:paraId="62ED2F00" w14:textId="3A1A3B2A" w:rsidR="00CF6BD9" w:rsidRPr="00B07C7E" w:rsidRDefault="008A0EF1" w:rsidP="00403A2F">
            <w:r w:rsidRPr="00B07C7E">
              <w:t>3</w:t>
            </w:r>
            <w:r w:rsidR="005613A6" w:rsidRPr="00B07C7E">
              <w:t>/5</w:t>
            </w:r>
          </w:p>
        </w:tc>
      </w:tr>
    </w:tbl>
    <w:p w14:paraId="1298AA72" w14:textId="666F16B6" w:rsidR="00F60707" w:rsidRPr="00842B27" w:rsidRDefault="00F613AA" w:rsidP="00842B27">
      <w:pPr>
        <w:pStyle w:val="Titre2"/>
        <w:rPr>
          <w:rStyle w:val="lev"/>
          <w:rFonts w:hint="eastAsia"/>
          <w:b w:val="0"/>
        </w:rPr>
      </w:pPr>
      <w:bookmarkStart w:id="3" w:name="_Toc152798924"/>
      <w:r w:rsidRPr="00842B27">
        <w:rPr>
          <w:rStyle w:val="lev"/>
          <w:b w:val="0"/>
          <w:bCs w:val="0"/>
        </w:rPr>
        <w:t>Menace de</w:t>
      </w:r>
      <w:r w:rsidR="00731A3A" w:rsidRPr="00842B27">
        <w:rPr>
          <w:rStyle w:val="lev"/>
          <w:b w:val="0"/>
          <w:bCs w:val="0"/>
        </w:rPr>
        <w:t>s</w:t>
      </w:r>
      <w:r w:rsidRPr="00842B27">
        <w:rPr>
          <w:rStyle w:val="lev"/>
          <w:b w:val="0"/>
          <w:bCs w:val="0"/>
        </w:rPr>
        <w:t xml:space="preserve"> substituts</w:t>
      </w:r>
      <w:bookmarkEnd w:id="3"/>
    </w:p>
    <w:p w14:paraId="08592682" w14:textId="77777777" w:rsidR="00731A3A" w:rsidRPr="0016778C" w:rsidRDefault="00F613AA" w:rsidP="00731A3A">
      <w:r w:rsidRPr="0016778C">
        <w:t>L'acier fait face à des menaces croissantes de substitution dans divers secteurs, tels que l'aluminium dans l'automobile ou le plastique dans l'emballage. Les avancées technologiques favorisent l’utilisation d'autres matériaux dans de nombreuses applications, ce qui diminue la demande globale d'acie</w:t>
      </w:r>
      <w:r w:rsidR="00731A3A" w:rsidRPr="0016778C">
        <w:t>r.</w:t>
      </w:r>
    </w:p>
    <w:tbl>
      <w:tblPr>
        <w:tblStyle w:val="Grilledutableau"/>
        <w:tblW w:w="0" w:type="auto"/>
        <w:tblLook w:val="04A0" w:firstRow="1" w:lastRow="0" w:firstColumn="1" w:lastColumn="0" w:noHBand="0" w:noVBand="1"/>
      </w:tblPr>
      <w:tblGrid>
        <w:gridCol w:w="1282"/>
        <w:gridCol w:w="3318"/>
        <w:gridCol w:w="4416"/>
      </w:tblGrid>
      <w:tr w:rsidR="004305D4" w:rsidRPr="0016778C" w14:paraId="350BE976" w14:textId="77777777" w:rsidTr="004A5D79">
        <w:tc>
          <w:tcPr>
            <w:tcW w:w="0" w:type="auto"/>
            <w:shd w:val="clear" w:color="auto" w:fill="D9D9D9" w:themeFill="background1" w:themeFillShade="D9"/>
          </w:tcPr>
          <w:p w14:paraId="60DD91F7" w14:textId="5DE58D77" w:rsidR="004305D4" w:rsidRPr="0016778C" w:rsidRDefault="004305D4" w:rsidP="004305D4">
            <w:pPr>
              <w:rPr>
                <w:rStyle w:val="lev"/>
              </w:rPr>
            </w:pPr>
            <w:r w:rsidRPr="0016778C">
              <w:rPr>
                <w:rStyle w:val="lev"/>
              </w:rPr>
              <w:t>Année</w:t>
            </w:r>
          </w:p>
        </w:tc>
        <w:tc>
          <w:tcPr>
            <w:tcW w:w="0" w:type="auto"/>
            <w:shd w:val="clear" w:color="auto" w:fill="D9D9D9" w:themeFill="background1" w:themeFillShade="D9"/>
          </w:tcPr>
          <w:p w14:paraId="3871F3D4" w14:textId="4E609F0C" w:rsidR="004305D4" w:rsidRPr="0016778C" w:rsidRDefault="004305D4" w:rsidP="004305D4">
            <w:pPr>
              <w:rPr>
                <w:rStyle w:val="lev"/>
              </w:rPr>
            </w:pPr>
            <w:r w:rsidRPr="0016778C">
              <w:rPr>
                <w:rStyle w:val="lev"/>
              </w:rPr>
              <w:t>2008</w:t>
            </w:r>
          </w:p>
        </w:tc>
        <w:tc>
          <w:tcPr>
            <w:tcW w:w="0" w:type="auto"/>
            <w:shd w:val="clear" w:color="auto" w:fill="D9D9D9" w:themeFill="background1" w:themeFillShade="D9"/>
          </w:tcPr>
          <w:p w14:paraId="2F359117" w14:textId="429F81EA" w:rsidR="004305D4" w:rsidRPr="0016778C" w:rsidRDefault="004305D4" w:rsidP="004305D4">
            <w:pPr>
              <w:rPr>
                <w:rStyle w:val="lev"/>
              </w:rPr>
            </w:pPr>
            <w:r w:rsidRPr="0016778C">
              <w:rPr>
                <w:rStyle w:val="lev"/>
              </w:rPr>
              <w:t>2018</w:t>
            </w:r>
          </w:p>
        </w:tc>
      </w:tr>
      <w:tr w:rsidR="004305D4" w:rsidRPr="0016778C" w14:paraId="41B45EFF" w14:textId="77777777" w:rsidTr="004A5D79">
        <w:trPr>
          <w:trHeight w:val="870"/>
        </w:trPr>
        <w:tc>
          <w:tcPr>
            <w:tcW w:w="0" w:type="auto"/>
            <w:shd w:val="clear" w:color="auto" w:fill="D9D9D9" w:themeFill="background1" w:themeFillShade="D9"/>
          </w:tcPr>
          <w:p w14:paraId="25081FFF" w14:textId="4CF63610" w:rsidR="004305D4" w:rsidRPr="0016778C" w:rsidRDefault="004305D4" w:rsidP="004305D4">
            <w:pPr>
              <w:rPr>
                <w:rStyle w:val="lev"/>
              </w:rPr>
            </w:pPr>
            <w:r w:rsidRPr="0016778C">
              <w:rPr>
                <w:rStyle w:val="lev"/>
              </w:rPr>
              <w:t>Description</w:t>
            </w:r>
          </w:p>
        </w:tc>
        <w:tc>
          <w:tcPr>
            <w:tcW w:w="0" w:type="auto"/>
          </w:tcPr>
          <w:p w14:paraId="522B3A34" w14:textId="6BC27449" w:rsidR="004305D4" w:rsidRPr="0016778C" w:rsidRDefault="004305D4" w:rsidP="004305D4">
            <w:r w:rsidRPr="0016778C">
              <w:t>La menace des substituts était présente mais pas aussi marquée qu'elle ne l'est aujourd'hui.</w:t>
            </w:r>
          </w:p>
        </w:tc>
        <w:tc>
          <w:tcPr>
            <w:tcW w:w="0" w:type="auto"/>
          </w:tcPr>
          <w:p w14:paraId="43C04218" w14:textId="0D6B2DF6" w:rsidR="004305D4" w:rsidRPr="0016778C" w:rsidRDefault="004305D4" w:rsidP="004305D4">
            <w:r w:rsidRPr="0016778C">
              <w:t>Les substituts comme l'aluminium et le plastique ont gagné en popularité, mais l'acier restait prédominant malgré la concurrence.</w:t>
            </w:r>
          </w:p>
        </w:tc>
      </w:tr>
      <w:tr w:rsidR="004305D4" w:rsidRPr="0016778C" w14:paraId="3AE18480" w14:textId="77777777" w:rsidTr="004A5D79">
        <w:tc>
          <w:tcPr>
            <w:tcW w:w="0" w:type="auto"/>
            <w:shd w:val="clear" w:color="auto" w:fill="D9D9D9" w:themeFill="background1" w:themeFillShade="D9"/>
          </w:tcPr>
          <w:p w14:paraId="5128164A" w14:textId="69A05F68" w:rsidR="004305D4" w:rsidRPr="0016778C" w:rsidRDefault="004305D4" w:rsidP="004305D4">
            <w:pPr>
              <w:rPr>
                <w:rStyle w:val="lev"/>
              </w:rPr>
            </w:pPr>
            <w:r w:rsidRPr="0016778C">
              <w:rPr>
                <w:rStyle w:val="lev"/>
              </w:rPr>
              <w:t>Note</w:t>
            </w:r>
          </w:p>
        </w:tc>
        <w:tc>
          <w:tcPr>
            <w:tcW w:w="0" w:type="auto"/>
          </w:tcPr>
          <w:p w14:paraId="76A1AFD5" w14:textId="213D9F2B" w:rsidR="004305D4" w:rsidRPr="0016778C" w:rsidRDefault="00BC3149" w:rsidP="004305D4">
            <w:r w:rsidRPr="0016778C">
              <w:t>2/5</w:t>
            </w:r>
          </w:p>
        </w:tc>
        <w:tc>
          <w:tcPr>
            <w:tcW w:w="0" w:type="auto"/>
          </w:tcPr>
          <w:p w14:paraId="09EBECA1" w14:textId="40891686" w:rsidR="004305D4" w:rsidRPr="0016778C" w:rsidRDefault="00BC3149" w:rsidP="004305D4">
            <w:r w:rsidRPr="0016778C">
              <w:t>3/5</w:t>
            </w:r>
          </w:p>
        </w:tc>
      </w:tr>
    </w:tbl>
    <w:p w14:paraId="6A21CA68" w14:textId="77777777" w:rsidR="00573EF8" w:rsidRPr="00842B27" w:rsidRDefault="00F613AA" w:rsidP="00842B27">
      <w:pPr>
        <w:pStyle w:val="Titre2"/>
        <w:rPr>
          <w:rStyle w:val="lev"/>
          <w:rFonts w:hint="eastAsia"/>
          <w:b w:val="0"/>
          <w:bCs w:val="0"/>
        </w:rPr>
      </w:pPr>
      <w:bookmarkStart w:id="4" w:name="_Toc152798925"/>
      <w:r w:rsidRPr="00842B27">
        <w:rPr>
          <w:rStyle w:val="lev"/>
          <w:b w:val="0"/>
          <w:bCs w:val="0"/>
        </w:rPr>
        <w:t>Pouvoir de négociation des acheteur</w:t>
      </w:r>
      <w:r w:rsidR="00573EF8" w:rsidRPr="00842B27">
        <w:rPr>
          <w:rStyle w:val="lev"/>
          <w:b w:val="0"/>
          <w:bCs w:val="0"/>
        </w:rPr>
        <w:t>s</w:t>
      </w:r>
      <w:bookmarkEnd w:id="4"/>
    </w:p>
    <w:p w14:paraId="0506744F" w14:textId="1EBB1328" w:rsidR="00644B90" w:rsidRPr="0016778C" w:rsidRDefault="00F613AA" w:rsidP="00644B90">
      <w:r w:rsidRPr="0016778C">
        <w:t>Les grands acheteurs tels que les constructeurs automobiles et les fabricants d'emballages ont un pouvoir significatif en raison de leurs volumes d'achat élevés et de leurs exigences spécifiques en termes de qualité. Le ralentissement de la demande, en particulier dans l'industrie automobile, a entraîné une pression à la baisse sur les prix de l'acier.</w:t>
      </w:r>
      <w:r w:rsidR="00644B90" w:rsidRPr="0016778C">
        <w:t xml:space="preserve"> </w:t>
      </w:r>
    </w:p>
    <w:tbl>
      <w:tblPr>
        <w:tblStyle w:val="Grilledutableau"/>
        <w:tblW w:w="0" w:type="auto"/>
        <w:tblLook w:val="04A0" w:firstRow="1" w:lastRow="0" w:firstColumn="1" w:lastColumn="0" w:noHBand="0" w:noVBand="1"/>
      </w:tblPr>
      <w:tblGrid>
        <w:gridCol w:w="1282"/>
        <w:gridCol w:w="3167"/>
        <w:gridCol w:w="4567"/>
      </w:tblGrid>
      <w:tr w:rsidR="00CF6BD9" w:rsidRPr="0016778C" w14:paraId="51500355" w14:textId="77777777" w:rsidTr="004A5D79">
        <w:tc>
          <w:tcPr>
            <w:tcW w:w="0" w:type="auto"/>
            <w:shd w:val="clear" w:color="auto" w:fill="D9D9D9" w:themeFill="background1" w:themeFillShade="D9"/>
          </w:tcPr>
          <w:p w14:paraId="321CED35" w14:textId="77777777" w:rsidR="00CF6BD9" w:rsidRPr="0016778C" w:rsidRDefault="00CF6BD9" w:rsidP="00403A2F">
            <w:pPr>
              <w:rPr>
                <w:rStyle w:val="lev"/>
              </w:rPr>
            </w:pPr>
            <w:r w:rsidRPr="0016778C">
              <w:rPr>
                <w:rStyle w:val="lev"/>
              </w:rPr>
              <w:t>Année</w:t>
            </w:r>
          </w:p>
        </w:tc>
        <w:tc>
          <w:tcPr>
            <w:tcW w:w="0" w:type="auto"/>
            <w:shd w:val="clear" w:color="auto" w:fill="D9D9D9" w:themeFill="background1" w:themeFillShade="D9"/>
          </w:tcPr>
          <w:p w14:paraId="1AC4D3E9" w14:textId="77777777" w:rsidR="00CF6BD9" w:rsidRPr="0016778C" w:rsidRDefault="00CF6BD9" w:rsidP="00403A2F">
            <w:pPr>
              <w:rPr>
                <w:rStyle w:val="lev"/>
              </w:rPr>
            </w:pPr>
            <w:r w:rsidRPr="0016778C">
              <w:rPr>
                <w:rStyle w:val="lev"/>
              </w:rPr>
              <w:t>2008</w:t>
            </w:r>
          </w:p>
        </w:tc>
        <w:tc>
          <w:tcPr>
            <w:tcW w:w="0" w:type="auto"/>
            <w:shd w:val="clear" w:color="auto" w:fill="D9D9D9" w:themeFill="background1" w:themeFillShade="D9"/>
          </w:tcPr>
          <w:p w14:paraId="0C025A54" w14:textId="77777777" w:rsidR="00CF6BD9" w:rsidRPr="0016778C" w:rsidRDefault="00CF6BD9" w:rsidP="00403A2F">
            <w:pPr>
              <w:rPr>
                <w:rStyle w:val="lev"/>
              </w:rPr>
            </w:pPr>
            <w:r w:rsidRPr="0016778C">
              <w:rPr>
                <w:rStyle w:val="lev"/>
              </w:rPr>
              <w:t>2018</w:t>
            </w:r>
          </w:p>
        </w:tc>
      </w:tr>
      <w:tr w:rsidR="00CF6BD9" w:rsidRPr="0016778C" w14:paraId="0956AD3B" w14:textId="77777777" w:rsidTr="004A5D79">
        <w:tc>
          <w:tcPr>
            <w:tcW w:w="0" w:type="auto"/>
            <w:shd w:val="clear" w:color="auto" w:fill="D9D9D9" w:themeFill="background1" w:themeFillShade="D9"/>
          </w:tcPr>
          <w:p w14:paraId="059CC446" w14:textId="77777777" w:rsidR="00CF6BD9" w:rsidRPr="0016778C" w:rsidRDefault="00CF6BD9" w:rsidP="00403A2F">
            <w:pPr>
              <w:rPr>
                <w:rStyle w:val="lev"/>
              </w:rPr>
            </w:pPr>
            <w:r w:rsidRPr="0016778C">
              <w:rPr>
                <w:rStyle w:val="lev"/>
              </w:rPr>
              <w:t>Description</w:t>
            </w:r>
          </w:p>
        </w:tc>
        <w:tc>
          <w:tcPr>
            <w:tcW w:w="0" w:type="auto"/>
          </w:tcPr>
          <w:p w14:paraId="6A227696" w14:textId="2E598704" w:rsidR="00CF6BD9" w:rsidRPr="0016778C" w:rsidRDefault="00644B90" w:rsidP="00403A2F">
            <w:r w:rsidRPr="0016778C">
              <w:t>Les acheteurs influents, tels que les constructeurs automobiles, exerçaient déjà une certaine pression sur les prix.</w:t>
            </w:r>
          </w:p>
        </w:tc>
        <w:tc>
          <w:tcPr>
            <w:tcW w:w="0" w:type="auto"/>
          </w:tcPr>
          <w:p w14:paraId="472C4B6F" w14:textId="790011CD" w:rsidR="00CF6BD9" w:rsidRPr="0016778C" w:rsidRDefault="00644B90" w:rsidP="00403A2F">
            <w:r w:rsidRPr="0016778C">
              <w:t>Le pouvoir de négociation des acheteurs a augmenté en raison du ralentissement de la demande, donnant aux acheteurs une marge de manœuvre plus importante pour négocier les prix.</w:t>
            </w:r>
          </w:p>
        </w:tc>
      </w:tr>
      <w:tr w:rsidR="00CF6BD9" w:rsidRPr="0016778C" w14:paraId="3ED4875B" w14:textId="77777777" w:rsidTr="004A5D79">
        <w:tc>
          <w:tcPr>
            <w:tcW w:w="0" w:type="auto"/>
            <w:shd w:val="clear" w:color="auto" w:fill="D9D9D9" w:themeFill="background1" w:themeFillShade="D9"/>
          </w:tcPr>
          <w:p w14:paraId="5D4063FC" w14:textId="77777777" w:rsidR="00CF6BD9" w:rsidRPr="0016778C" w:rsidRDefault="00CF6BD9" w:rsidP="00403A2F">
            <w:pPr>
              <w:rPr>
                <w:rStyle w:val="lev"/>
              </w:rPr>
            </w:pPr>
            <w:r w:rsidRPr="0016778C">
              <w:rPr>
                <w:rStyle w:val="lev"/>
              </w:rPr>
              <w:t>Note</w:t>
            </w:r>
          </w:p>
        </w:tc>
        <w:tc>
          <w:tcPr>
            <w:tcW w:w="0" w:type="auto"/>
          </w:tcPr>
          <w:p w14:paraId="0A489331" w14:textId="46A237AC" w:rsidR="00CF6BD9" w:rsidRPr="0016778C" w:rsidRDefault="00644B90" w:rsidP="00403A2F">
            <w:r w:rsidRPr="0016778C">
              <w:t>3</w:t>
            </w:r>
            <w:r w:rsidR="005613A6" w:rsidRPr="0016778C">
              <w:t>/5</w:t>
            </w:r>
          </w:p>
        </w:tc>
        <w:tc>
          <w:tcPr>
            <w:tcW w:w="0" w:type="auto"/>
          </w:tcPr>
          <w:p w14:paraId="1D436DB5" w14:textId="74CE1157" w:rsidR="00CF6BD9" w:rsidRPr="0016778C" w:rsidRDefault="00644B90" w:rsidP="00403A2F">
            <w:r w:rsidRPr="0016778C">
              <w:t>4</w:t>
            </w:r>
            <w:r w:rsidR="005613A6" w:rsidRPr="0016778C">
              <w:t>/5</w:t>
            </w:r>
          </w:p>
        </w:tc>
      </w:tr>
    </w:tbl>
    <w:p w14:paraId="0D6540BC" w14:textId="77777777" w:rsidR="00573EF8" w:rsidRPr="00842B27" w:rsidRDefault="33AFD818" w:rsidP="00842B27">
      <w:pPr>
        <w:pStyle w:val="Titre2"/>
        <w:rPr>
          <w:rStyle w:val="lev"/>
          <w:rFonts w:hint="eastAsia"/>
          <w:b w:val="0"/>
        </w:rPr>
      </w:pPr>
      <w:bookmarkStart w:id="5" w:name="_Toc152798926"/>
      <w:r w:rsidRPr="00842B27">
        <w:rPr>
          <w:rStyle w:val="lev"/>
          <w:b w:val="0"/>
          <w:bCs w:val="0"/>
        </w:rPr>
        <w:lastRenderedPageBreak/>
        <w:t>Pouvoir de négociation des fournisseurs</w:t>
      </w:r>
      <w:bookmarkEnd w:id="5"/>
    </w:p>
    <w:p w14:paraId="42DE0198" w14:textId="168C01EB" w:rsidR="00644B90" w:rsidRPr="0016778C" w:rsidRDefault="33AFD818" w:rsidP="00573EF8">
      <w:r w:rsidRPr="0016778C">
        <w:t>Les principaux fournisseurs de matières premières, comme Vale, Rio Tinto et BHP Billiton, ont un contrôle significatif sur le marché du minerai de fer. ArcelorMittal a cherché à réduire sa dépendance en acquérant des mines, mais reste influencé par ces grands fournisseurs.</w:t>
      </w:r>
    </w:p>
    <w:tbl>
      <w:tblPr>
        <w:tblStyle w:val="Grilledutableau"/>
        <w:tblW w:w="0" w:type="auto"/>
        <w:tblLook w:val="04A0" w:firstRow="1" w:lastRow="0" w:firstColumn="1" w:lastColumn="0" w:noHBand="0" w:noVBand="1"/>
      </w:tblPr>
      <w:tblGrid>
        <w:gridCol w:w="1282"/>
        <w:gridCol w:w="3785"/>
        <w:gridCol w:w="3949"/>
      </w:tblGrid>
      <w:tr w:rsidR="00CF6BD9" w:rsidRPr="0016778C" w14:paraId="6F9FD34F" w14:textId="77777777" w:rsidTr="004A5D79">
        <w:tc>
          <w:tcPr>
            <w:tcW w:w="0" w:type="auto"/>
            <w:shd w:val="clear" w:color="auto" w:fill="D9D9D9" w:themeFill="background1" w:themeFillShade="D9"/>
          </w:tcPr>
          <w:p w14:paraId="7A597649" w14:textId="77777777" w:rsidR="00CF6BD9" w:rsidRPr="0016778C" w:rsidRDefault="00CF6BD9" w:rsidP="00403A2F">
            <w:pPr>
              <w:rPr>
                <w:rStyle w:val="lev"/>
              </w:rPr>
            </w:pPr>
            <w:r w:rsidRPr="0016778C">
              <w:rPr>
                <w:rStyle w:val="lev"/>
              </w:rPr>
              <w:t>Année</w:t>
            </w:r>
          </w:p>
        </w:tc>
        <w:tc>
          <w:tcPr>
            <w:tcW w:w="0" w:type="auto"/>
            <w:shd w:val="clear" w:color="auto" w:fill="D9D9D9" w:themeFill="background1" w:themeFillShade="D9"/>
          </w:tcPr>
          <w:p w14:paraId="551BD29E" w14:textId="77777777" w:rsidR="00CF6BD9" w:rsidRPr="0016778C" w:rsidRDefault="00CF6BD9" w:rsidP="00403A2F">
            <w:pPr>
              <w:rPr>
                <w:rStyle w:val="lev"/>
              </w:rPr>
            </w:pPr>
            <w:r w:rsidRPr="0016778C">
              <w:rPr>
                <w:rStyle w:val="lev"/>
              </w:rPr>
              <w:t>2008</w:t>
            </w:r>
          </w:p>
        </w:tc>
        <w:tc>
          <w:tcPr>
            <w:tcW w:w="0" w:type="auto"/>
            <w:shd w:val="clear" w:color="auto" w:fill="D9D9D9" w:themeFill="background1" w:themeFillShade="D9"/>
          </w:tcPr>
          <w:p w14:paraId="276BDA3B" w14:textId="77777777" w:rsidR="00CF6BD9" w:rsidRPr="0016778C" w:rsidRDefault="00CF6BD9" w:rsidP="00403A2F">
            <w:pPr>
              <w:rPr>
                <w:rStyle w:val="lev"/>
              </w:rPr>
            </w:pPr>
            <w:r w:rsidRPr="0016778C">
              <w:rPr>
                <w:rStyle w:val="lev"/>
              </w:rPr>
              <w:t>2018</w:t>
            </w:r>
          </w:p>
        </w:tc>
      </w:tr>
      <w:tr w:rsidR="00CF6BD9" w:rsidRPr="0016778C" w14:paraId="1C813D25" w14:textId="77777777" w:rsidTr="004A5D79">
        <w:tc>
          <w:tcPr>
            <w:tcW w:w="0" w:type="auto"/>
            <w:shd w:val="clear" w:color="auto" w:fill="D9D9D9" w:themeFill="background1" w:themeFillShade="D9"/>
          </w:tcPr>
          <w:p w14:paraId="617A81A5" w14:textId="77777777" w:rsidR="00CF6BD9" w:rsidRPr="0016778C" w:rsidRDefault="00CF6BD9" w:rsidP="00403A2F">
            <w:pPr>
              <w:rPr>
                <w:rStyle w:val="lev"/>
              </w:rPr>
            </w:pPr>
            <w:r w:rsidRPr="0016778C">
              <w:rPr>
                <w:rStyle w:val="lev"/>
              </w:rPr>
              <w:t>Description</w:t>
            </w:r>
          </w:p>
        </w:tc>
        <w:tc>
          <w:tcPr>
            <w:tcW w:w="0" w:type="auto"/>
          </w:tcPr>
          <w:p w14:paraId="33CC9233" w14:textId="1912E9DB" w:rsidR="00CF6BD9" w:rsidRPr="0016778C" w:rsidRDefault="00644B90" w:rsidP="00403A2F">
            <w:r w:rsidRPr="0016778C">
              <w:t>Les sidérurgistes étaient fortement dépendants des fournisseurs de matières premières, principalement le minerai de fer, ce qui représentait un risque pour leur rentabilité.</w:t>
            </w:r>
          </w:p>
        </w:tc>
        <w:tc>
          <w:tcPr>
            <w:tcW w:w="0" w:type="auto"/>
          </w:tcPr>
          <w:p w14:paraId="4A1180A6" w14:textId="0EE6FB12" w:rsidR="00CF6BD9" w:rsidRPr="0016778C" w:rsidRDefault="00644B90" w:rsidP="00403A2F">
            <w:r w:rsidRPr="0016778C">
              <w:t>Malgré certains investissements dans des sources d'approvisionnement propres, la dépendance aux matières premières restait un défi pour l'industrie.</w:t>
            </w:r>
          </w:p>
        </w:tc>
      </w:tr>
      <w:tr w:rsidR="00CF6BD9" w:rsidRPr="0016778C" w14:paraId="3C7B50AA" w14:textId="77777777" w:rsidTr="004A5D79">
        <w:tc>
          <w:tcPr>
            <w:tcW w:w="0" w:type="auto"/>
            <w:shd w:val="clear" w:color="auto" w:fill="D9D9D9" w:themeFill="background1" w:themeFillShade="D9"/>
          </w:tcPr>
          <w:p w14:paraId="251369F1" w14:textId="77777777" w:rsidR="00CF6BD9" w:rsidRPr="0016778C" w:rsidRDefault="00CF6BD9" w:rsidP="00403A2F">
            <w:pPr>
              <w:rPr>
                <w:rStyle w:val="lev"/>
              </w:rPr>
            </w:pPr>
            <w:r w:rsidRPr="0016778C">
              <w:rPr>
                <w:rStyle w:val="lev"/>
              </w:rPr>
              <w:t>Note</w:t>
            </w:r>
          </w:p>
        </w:tc>
        <w:tc>
          <w:tcPr>
            <w:tcW w:w="0" w:type="auto"/>
          </w:tcPr>
          <w:p w14:paraId="74D4108C" w14:textId="54F6DB7C" w:rsidR="00CF6BD9" w:rsidRPr="0016778C" w:rsidRDefault="00644B90" w:rsidP="00403A2F">
            <w:r w:rsidRPr="0016778C">
              <w:t>4</w:t>
            </w:r>
            <w:r w:rsidR="005613A6" w:rsidRPr="0016778C">
              <w:t>/5</w:t>
            </w:r>
          </w:p>
        </w:tc>
        <w:tc>
          <w:tcPr>
            <w:tcW w:w="0" w:type="auto"/>
          </w:tcPr>
          <w:p w14:paraId="068BCE70" w14:textId="37E3AC0B" w:rsidR="00CF6BD9" w:rsidRPr="0016778C" w:rsidRDefault="00644B90" w:rsidP="00403A2F">
            <w:r w:rsidRPr="0016778C">
              <w:t>3</w:t>
            </w:r>
            <w:r w:rsidR="005613A6" w:rsidRPr="0016778C">
              <w:t>/5</w:t>
            </w:r>
          </w:p>
        </w:tc>
      </w:tr>
    </w:tbl>
    <w:p w14:paraId="4861B6E0" w14:textId="77777777" w:rsidR="00496816" w:rsidRPr="00842B27" w:rsidRDefault="00496816" w:rsidP="00842B27">
      <w:pPr>
        <w:pStyle w:val="Titre2"/>
        <w:rPr>
          <w:rStyle w:val="lev"/>
          <w:rFonts w:hint="eastAsia"/>
          <w:b w:val="0"/>
        </w:rPr>
      </w:pPr>
      <w:bookmarkStart w:id="6" w:name="_Toc152798927"/>
      <w:r w:rsidRPr="00842B27">
        <w:rPr>
          <w:rStyle w:val="lev"/>
          <w:b w:val="0"/>
          <w:bCs w:val="0"/>
        </w:rPr>
        <w:t>Intensité concurrentielle</w:t>
      </w:r>
      <w:bookmarkEnd w:id="6"/>
    </w:p>
    <w:p w14:paraId="652DE4D5" w14:textId="39E3E053" w:rsidR="00644B90" w:rsidRPr="0016778C" w:rsidRDefault="33AFD818" w:rsidP="00573EF8">
      <w:r w:rsidRPr="0016778C">
        <w:t xml:space="preserve">L'industrie sidérurgique est fragmentée malgré quelques gros acteurs comme ArcelorMittal, </w:t>
      </w:r>
      <w:proofErr w:type="spellStart"/>
      <w:r w:rsidRPr="0016778C">
        <w:t>Baowu</w:t>
      </w:r>
      <w:proofErr w:type="spellEnd"/>
      <w:r w:rsidRPr="0016778C">
        <w:t>, HBIS, etc. Les prix de l'acier sont hautement cycliques et les surcapacités surviennent lors de périodes de forte demande,</w:t>
      </w:r>
      <w:r w:rsidR="003802CA" w:rsidRPr="0016778C">
        <w:t xml:space="preserve"> </w:t>
      </w:r>
      <w:r w:rsidRPr="0016778C">
        <w:t>menant à une concurrence exacerbée et à une pression sur les prix</w:t>
      </w:r>
    </w:p>
    <w:tbl>
      <w:tblPr>
        <w:tblStyle w:val="Grilledutableau"/>
        <w:tblW w:w="0" w:type="auto"/>
        <w:tblLook w:val="04A0" w:firstRow="1" w:lastRow="0" w:firstColumn="1" w:lastColumn="0" w:noHBand="0" w:noVBand="1"/>
      </w:tblPr>
      <w:tblGrid>
        <w:gridCol w:w="1282"/>
        <w:gridCol w:w="3798"/>
        <w:gridCol w:w="3936"/>
      </w:tblGrid>
      <w:tr w:rsidR="00CF6BD9" w:rsidRPr="0016778C" w14:paraId="64C0759B" w14:textId="77777777" w:rsidTr="004A5D79">
        <w:tc>
          <w:tcPr>
            <w:tcW w:w="0" w:type="auto"/>
            <w:shd w:val="clear" w:color="auto" w:fill="D9D9D9" w:themeFill="background1" w:themeFillShade="D9"/>
          </w:tcPr>
          <w:p w14:paraId="61D26984" w14:textId="77777777" w:rsidR="00CF6BD9" w:rsidRPr="0016778C" w:rsidRDefault="00CF6BD9" w:rsidP="00403A2F">
            <w:pPr>
              <w:rPr>
                <w:rStyle w:val="lev"/>
              </w:rPr>
            </w:pPr>
            <w:r w:rsidRPr="0016778C">
              <w:rPr>
                <w:rStyle w:val="lev"/>
              </w:rPr>
              <w:t>Année</w:t>
            </w:r>
          </w:p>
        </w:tc>
        <w:tc>
          <w:tcPr>
            <w:tcW w:w="0" w:type="auto"/>
            <w:shd w:val="clear" w:color="auto" w:fill="D9D9D9" w:themeFill="background1" w:themeFillShade="D9"/>
          </w:tcPr>
          <w:p w14:paraId="6026CC09" w14:textId="77777777" w:rsidR="00CF6BD9" w:rsidRPr="0016778C" w:rsidRDefault="00CF6BD9" w:rsidP="00403A2F">
            <w:pPr>
              <w:rPr>
                <w:rStyle w:val="lev"/>
              </w:rPr>
            </w:pPr>
            <w:r w:rsidRPr="0016778C">
              <w:rPr>
                <w:rStyle w:val="lev"/>
              </w:rPr>
              <w:t>2008</w:t>
            </w:r>
          </w:p>
        </w:tc>
        <w:tc>
          <w:tcPr>
            <w:tcW w:w="0" w:type="auto"/>
            <w:shd w:val="clear" w:color="auto" w:fill="D9D9D9" w:themeFill="background1" w:themeFillShade="D9"/>
          </w:tcPr>
          <w:p w14:paraId="4B6E625D" w14:textId="77777777" w:rsidR="00CF6BD9" w:rsidRPr="0016778C" w:rsidRDefault="00CF6BD9" w:rsidP="00403A2F">
            <w:pPr>
              <w:rPr>
                <w:rStyle w:val="lev"/>
              </w:rPr>
            </w:pPr>
            <w:r w:rsidRPr="0016778C">
              <w:rPr>
                <w:rStyle w:val="lev"/>
              </w:rPr>
              <w:t>2018</w:t>
            </w:r>
          </w:p>
        </w:tc>
      </w:tr>
      <w:tr w:rsidR="00CF6BD9" w:rsidRPr="0016778C" w14:paraId="4444ECE2" w14:textId="77777777" w:rsidTr="004A5D79">
        <w:tc>
          <w:tcPr>
            <w:tcW w:w="0" w:type="auto"/>
            <w:shd w:val="clear" w:color="auto" w:fill="D9D9D9" w:themeFill="background1" w:themeFillShade="D9"/>
          </w:tcPr>
          <w:p w14:paraId="466CA3C2" w14:textId="77777777" w:rsidR="00CF6BD9" w:rsidRPr="0016778C" w:rsidRDefault="00CF6BD9" w:rsidP="00403A2F">
            <w:pPr>
              <w:rPr>
                <w:rStyle w:val="lev"/>
              </w:rPr>
            </w:pPr>
            <w:r w:rsidRPr="0016778C">
              <w:rPr>
                <w:rStyle w:val="lev"/>
              </w:rPr>
              <w:t>Description</w:t>
            </w:r>
          </w:p>
        </w:tc>
        <w:tc>
          <w:tcPr>
            <w:tcW w:w="0" w:type="auto"/>
          </w:tcPr>
          <w:p w14:paraId="50D32B42" w14:textId="1C6D1B94" w:rsidR="00CF6BD9" w:rsidRPr="0016778C" w:rsidRDefault="00644B90" w:rsidP="00403A2F">
            <w:r w:rsidRPr="0016778C">
              <w:t>La compétition était déjà intense en 2008, mais la fragmentation de l'industrie limitait l'influence des grands acteurs.</w:t>
            </w:r>
          </w:p>
        </w:tc>
        <w:tc>
          <w:tcPr>
            <w:tcW w:w="0" w:type="auto"/>
          </w:tcPr>
          <w:p w14:paraId="502F5E63" w14:textId="0E024809" w:rsidR="00CF6BD9" w:rsidRPr="0016778C" w:rsidRDefault="00644B90" w:rsidP="00403A2F">
            <w:r w:rsidRPr="0016778C">
              <w:t>Malgré des consolidations, la concurrence restait vive et les prix hautement cycliques, reflétant une industrie fragmentée.</w:t>
            </w:r>
          </w:p>
        </w:tc>
      </w:tr>
      <w:tr w:rsidR="00CF6BD9" w:rsidRPr="0016778C" w14:paraId="78CFDB86" w14:textId="77777777" w:rsidTr="004A5D79">
        <w:tc>
          <w:tcPr>
            <w:tcW w:w="0" w:type="auto"/>
            <w:shd w:val="clear" w:color="auto" w:fill="D9D9D9" w:themeFill="background1" w:themeFillShade="D9"/>
          </w:tcPr>
          <w:p w14:paraId="234069AD" w14:textId="77777777" w:rsidR="00CF6BD9" w:rsidRPr="0016778C" w:rsidRDefault="00CF6BD9" w:rsidP="00403A2F">
            <w:pPr>
              <w:rPr>
                <w:rStyle w:val="lev"/>
              </w:rPr>
            </w:pPr>
            <w:r w:rsidRPr="0016778C">
              <w:rPr>
                <w:rStyle w:val="lev"/>
              </w:rPr>
              <w:t>Note</w:t>
            </w:r>
          </w:p>
        </w:tc>
        <w:tc>
          <w:tcPr>
            <w:tcW w:w="0" w:type="auto"/>
          </w:tcPr>
          <w:p w14:paraId="7922E7F0" w14:textId="5EECD63C" w:rsidR="00CF6BD9" w:rsidRPr="0016778C" w:rsidRDefault="00644B90" w:rsidP="00403A2F">
            <w:r w:rsidRPr="0016778C">
              <w:t>3</w:t>
            </w:r>
            <w:r w:rsidR="005613A6" w:rsidRPr="0016778C">
              <w:t>/5</w:t>
            </w:r>
          </w:p>
        </w:tc>
        <w:tc>
          <w:tcPr>
            <w:tcW w:w="0" w:type="auto"/>
          </w:tcPr>
          <w:p w14:paraId="4B28D713" w14:textId="40378E9D" w:rsidR="00CF6BD9" w:rsidRPr="0016778C" w:rsidRDefault="00644B90" w:rsidP="00403A2F">
            <w:r w:rsidRPr="0016778C">
              <w:t>3</w:t>
            </w:r>
            <w:r w:rsidR="005613A6" w:rsidRPr="0016778C">
              <w:t>/5</w:t>
            </w:r>
          </w:p>
        </w:tc>
      </w:tr>
    </w:tbl>
    <w:p w14:paraId="40956C7D" w14:textId="77777777" w:rsidR="00573EF8" w:rsidRPr="00842B27" w:rsidRDefault="44780667" w:rsidP="00842B27">
      <w:pPr>
        <w:pStyle w:val="Titre2"/>
        <w:rPr>
          <w:rStyle w:val="lev"/>
          <w:rFonts w:hint="eastAsia"/>
          <w:b w:val="0"/>
          <w:bCs w:val="0"/>
        </w:rPr>
      </w:pPr>
      <w:bookmarkStart w:id="7" w:name="_Toc152798928"/>
      <w:r w:rsidRPr="00842B27">
        <w:rPr>
          <w:rStyle w:val="lev"/>
          <w:b w:val="0"/>
          <w:bCs w:val="0"/>
        </w:rPr>
        <w:t>Rôle des pouvoirs publics</w:t>
      </w:r>
      <w:bookmarkEnd w:id="7"/>
    </w:p>
    <w:p w14:paraId="3B558E86" w14:textId="516DCFAA" w:rsidR="006F63B9" w:rsidRPr="0016778C" w:rsidRDefault="44780667" w:rsidP="00573EF8">
      <w:r w:rsidRPr="0016778C">
        <w:t>Les pouvoirs publics jouent un rôle crucial dans l'industrie sidérurgique en raison de son impact significatif sur l'économie, l'emploi, l'innovation</w:t>
      </w:r>
      <w:r w:rsidR="0CCECD54" w:rsidRPr="0016778C">
        <w:t xml:space="preserve"> </w:t>
      </w:r>
      <w:r w:rsidR="385F4BB6" w:rsidRPr="0016778C">
        <w:t xml:space="preserve">et </w:t>
      </w:r>
      <w:r w:rsidR="1A2D25A5" w:rsidRPr="0016778C">
        <w:t>sur</w:t>
      </w:r>
      <w:r w:rsidR="385F4BB6" w:rsidRPr="0016778C">
        <w:t xml:space="preserve"> l’indépendance </w:t>
      </w:r>
      <w:r w:rsidR="1A2D25A5" w:rsidRPr="0016778C">
        <w:t>militaire. Les pays comme l’Inde la Chine et la Russie sont très attentif à la puissance de leurs producteurs car L'industrie sidérurgique est parfois considérée comme stratégique pour la sécurité nationale en raison de son rôle dans la construction et la défense.</w:t>
      </w:r>
    </w:p>
    <w:tbl>
      <w:tblPr>
        <w:tblStyle w:val="Grilledutableau"/>
        <w:tblW w:w="0" w:type="auto"/>
        <w:tblLook w:val="04A0" w:firstRow="1" w:lastRow="0" w:firstColumn="1" w:lastColumn="0" w:noHBand="0" w:noVBand="1"/>
      </w:tblPr>
      <w:tblGrid>
        <w:gridCol w:w="1282"/>
        <w:gridCol w:w="3476"/>
        <w:gridCol w:w="4258"/>
      </w:tblGrid>
      <w:tr w:rsidR="00CF6BD9" w:rsidRPr="0016778C" w14:paraId="1F2A4AF6" w14:textId="77777777" w:rsidTr="004A5D79">
        <w:tc>
          <w:tcPr>
            <w:tcW w:w="0" w:type="auto"/>
            <w:shd w:val="clear" w:color="auto" w:fill="D9D9D9" w:themeFill="background1" w:themeFillShade="D9"/>
          </w:tcPr>
          <w:p w14:paraId="6572155C" w14:textId="77777777" w:rsidR="00CF6BD9" w:rsidRPr="0016778C" w:rsidRDefault="00CF6BD9" w:rsidP="00403A2F">
            <w:pPr>
              <w:rPr>
                <w:rStyle w:val="lev"/>
              </w:rPr>
            </w:pPr>
            <w:r w:rsidRPr="0016778C">
              <w:rPr>
                <w:rStyle w:val="lev"/>
              </w:rPr>
              <w:t>Année</w:t>
            </w:r>
          </w:p>
        </w:tc>
        <w:tc>
          <w:tcPr>
            <w:tcW w:w="0" w:type="auto"/>
            <w:shd w:val="clear" w:color="auto" w:fill="D9D9D9" w:themeFill="background1" w:themeFillShade="D9"/>
          </w:tcPr>
          <w:p w14:paraId="64AA587D" w14:textId="77777777" w:rsidR="00CF6BD9" w:rsidRPr="0016778C" w:rsidRDefault="00CF6BD9" w:rsidP="00403A2F">
            <w:pPr>
              <w:rPr>
                <w:rStyle w:val="lev"/>
              </w:rPr>
            </w:pPr>
            <w:r w:rsidRPr="0016778C">
              <w:rPr>
                <w:rStyle w:val="lev"/>
              </w:rPr>
              <w:t>2008</w:t>
            </w:r>
          </w:p>
        </w:tc>
        <w:tc>
          <w:tcPr>
            <w:tcW w:w="0" w:type="auto"/>
            <w:shd w:val="clear" w:color="auto" w:fill="D9D9D9" w:themeFill="background1" w:themeFillShade="D9"/>
          </w:tcPr>
          <w:p w14:paraId="7611AD17" w14:textId="77777777" w:rsidR="00CF6BD9" w:rsidRPr="0016778C" w:rsidRDefault="00CF6BD9" w:rsidP="00403A2F">
            <w:pPr>
              <w:rPr>
                <w:rStyle w:val="lev"/>
              </w:rPr>
            </w:pPr>
            <w:r w:rsidRPr="0016778C">
              <w:rPr>
                <w:rStyle w:val="lev"/>
              </w:rPr>
              <w:t>2018</w:t>
            </w:r>
          </w:p>
        </w:tc>
      </w:tr>
      <w:tr w:rsidR="00CF6BD9" w:rsidRPr="0016778C" w14:paraId="05E81CB3" w14:textId="77777777" w:rsidTr="004A5D79">
        <w:tc>
          <w:tcPr>
            <w:tcW w:w="0" w:type="auto"/>
            <w:shd w:val="clear" w:color="auto" w:fill="D9D9D9" w:themeFill="background1" w:themeFillShade="D9"/>
          </w:tcPr>
          <w:p w14:paraId="348A7FBB" w14:textId="77777777" w:rsidR="00CF6BD9" w:rsidRPr="0016778C" w:rsidRDefault="00CF6BD9" w:rsidP="00403A2F">
            <w:pPr>
              <w:rPr>
                <w:rStyle w:val="lev"/>
              </w:rPr>
            </w:pPr>
            <w:r w:rsidRPr="0016778C">
              <w:rPr>
                <w:rStyle w:val="lev"/>
              </w:rPr>
              <w:t>Description</w:t>
            </w:r>
          </w:p>
        </w:tc>
        <w:tc>
          <w:tcPr>
            <w:tcW w:w="0" w:type="auto"/>
          </w:tcPr>
          <w:p w14:paraId="405303E6" w14:textId="251746CF" w:rsidR="00CF6BD9" w:rsidRPr="0016778C" w:rsidRDefault="00737181" w:rsidP="00403A2F">
            <w:r w:rsidRPr="00737181">
              <w:t>Moins d'intervention des pouvoirs publics occidentaux, plus axée sur la libéralisation de l'industrie.</w:t>
            </w:r>
          </w:p>
        </w:tc>
        <w:tc>
          <w:tcPr>
            <w:tcW w:w="0" w:type="auto"/>
          </w:tcPr>
          <w:p w14:paraId="4BC955A9" w14:textId="1CAD50CF" w:rsidR="00CF6BD9" w:rsidRPr="0016778C" w:rsidRDefault="00EF4D07" w:rsidP="00403A2F">
            <w:r w:rsidRPr="00EF4D07">
              <w:t>Les gouvernements restent attentifs dans certaines régions, mais leur rôle a diminué par rapport aux années précédentes.</w:t>
            </w:r>
          </w:p>
        </w:tc>
      </w:tr>
      <w:tr w:rsidR="00CF6BD9" w:rsidRPr="0016778C" w14:paraId="55446FE6" w14:textId="77777777" w:rsidTr="004A5D79">
        <w:tc>
          <w:tcPr>
            <w:tcW w:w="0" w:type="auto"/>
            <w:shd w:val="clear" w:color="auto" w:fill="D9D9D9" w:themeFill="background1" w:themeFillShade="D9"/>
          </w:tcPr>
          <w:p w14:paraId="34A1AC83" w14:textId="77777777" w:rsidR="00CF6BD9" w:rsidRPr="0016778C" w:rsidRDefault="00CF6BD9" w:rsidP="00403A2F">
            <w:pPr>
              <w:rPr>
                <w:rStyle w:val="lev"/>
              </w:rPr>
            </w:pPr>
            <w:r w:rsidRPr="0016778C">
              <w:rPr>
                <w:rStyle w:val="lev"/>
              </w:rPr>
              <w:t>Note</w:t>
            </w:r>
          </w:p>
        </w:tc>
        <w:tc>
          <w:tcPr>
            <w:tcW w:w="0" w:type="auto"/>
          </w:tcPr>
          <w:p w14:paraId="3963DAE2" w14:textId="493E4E91" w:rsidR="00CF6BD9" w:rsidRPr="0016778C" w:rsidRDefault="00870746" w:rsidP="00403A2F">
            <w:r>
              <w:t>3/5</w:t>
            </w:r>
          </w:p>
        </w:tc>
        <w:tc>
          <w:tcPr>
            <w:tcW w:w="0" w:type="auto"/>
          </w:tcPr>
          <w:p w14:paraId="46D0D9E8" w14:textId="51F614B9" w:rsidR="00CF6BD9" w:rsidRPr="0016778C" w:rsidRDefault="00870746" w:rsidP="00403A2F">
            <w:r>
              <w:t>3/5</w:t>
            </w:r>
          </w:p>
        </w:tc>
      </w:tr>
    </w:tbl>
    <w:p w14:paraId="15407917" w14:textId="432F3A7D" w:rsidR="00CF6BD9" w:rsidRPr="0016778C" w:rsidRDefault="00CF6BD9" w:rsidP="00573EF8"/>
    <w:p w14:paraId="05E39725" w14:textId="77777777" w:rsidR="00CF6BD9" w:rsidRPr="0016778C" w:rsidRDefault="00CF6BD9">
      <w:pPr>
        <w:keepNext w:val="0"/>
        <w:keepLines w:val="0"/>
      </w:pPr>
      <w:r w:rsidRPr="0016778C">
        <w:br w:type="page"/>
      </w:r>
    </w:p>
    <w:p w14:paraId="17F8B812" w14:textId="602429AE" w:rsidR="00573EF8" w:rsidRPr="0016778C" w:rsidRDefault="00675C78" w:rsidP="00573EF8">
      <w:pPr>
        <w:pStyle w:val="Titre2"/>
        <w:rPr>
          <w:rFonts w:hint="eastAsia"/>
        </w:rPr>
      </w:pPr>
      <w:bookmarkStart w:id="8" w:name="_Toc152798929"/>
      <w:r>
        <w:lastRenderedPageBreak/>
        <w:t>Hexagones sectoriels</w:t>
      </w:r>
      <w:bookmarkEnd w:id="8"/>
    </w:p>
    <w:p w14:paraId="31417A27" w14:textId="1A13E24F" w:rsidR="00EF6922" w:rsidRPr="0016778C" w:rsidRDefault="00054948" w:rsidP="00EF6922">
      <w:r w:rsidRPr="00054948">
        <w:t xml:space="preserve">Comme le montre la </w:t>
      </w:r>
      <w:r w:rsidRPr="00054948">
        <w:fldChar w:fldCharType="begin"/>
      </w:r>
      <w:r w:rsidRPr="00054948">
        <w:instrText xml:space="preserve"> REF _Ref152798627 \h </w:instrText>
      </w:r>
      <w:r>
        <w:instrText xml:space="preserve"> \* MERGEFORMAT </w:instrText>
      </w:r>
      <w:r w:rsidRPr="00054948">
        <w:fldChar w:fldCharType="separate"/>
      </w:r>
      <w:r w:rsidR="006F6C69">
        <w:t>Figure 1</w:t>
      </w:r>
      <w:r w:rsidRPr="00054948">
        <w:fldChar w:fldCharType="end"/>
      </w:r>
      <w:r w:rsidRPr="00054948">
        <w:t>, l</w:t>
      </w:r>
      <w:r w:rsidR="00EF6922" w:rsidRPr="00054948">
        <w:t>'industrie</w:t>
      </w:r>
      <w:r w:rsidR="00EF6922" w:rsidRPr="0016778C">
        <w:t xml:space="preserve"> sidérurgique est confrontée à des défis significatifs, notamment une concurrence intense, des pressions sur les prix, des </w:t>
      </w:r>
      <w:r w:rsidR="00EF6922" w:rsidRPr="00C25593">
        <w:rPr>
          <w:rStyle w:val="lev"/>
        </w:rPr>
        <w:t>menaces de substitution</w:t>
      </w:r>
      <w:r w:rsidR="00EF6922" w:rsidRPr="0016778C">
        <w:t xml:space="preserve"> et une dépendance aux</w:t>
      </w:r>
      <w:r w:rsidR="00EF6922" w:rsidRPr="00C25593">
        <w:rPr>
          <w:rStyle w:val="lev"/>
        </w:rPr>
        <w:t xml:space="preserve"> fournisseurs de matières premières</w:t>
      </w:r>
      <w:r w:rsidR="00EF6922" w:rsidRPr="0016778C">
        <w:t>.</w:t>
      </w:r>
    </w:p>
    <w:p w14:paraId="7CDECFA3" w14:textId="3FDD4CDF" w:rsidR="00EF6922" w:rsidRDefault="00172C0D" w:rsidP="000B54D0">
      <w:pPr>
        <w:rPr>
          <w:noProof/>
        </w:rPr>
      </w:pPr>
      <w:r>
        <w:rPr>
          <w:noProof/>
        </w:rPr>
        <w:drawing>
          <wp:inline distT="0" distB="0" distL="0" distR="0" wp14:anchorId="27DADB4F" wp14:editId="34BCC0DB">
            <wp:extent cx="2829546" cy="1850467"/>
            <wp:effectExtent l="0" t="0" r="9525" b="0"/>
            <wp:docPr id="1939221518" name="Image 8"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21518" name="Image 8" descr="Une image contenant texte, diagramme, capture d’écran, ligne&#10;&#10;Description générée automatiquement"/>
                    <pic:cNvPicPr>
                      <a:picLocks noChangeAspect="1" noChangeArrowheads="1"/>
                    </pic:cNvPicPr>
                  </pic:nvPicPr>
                  <pic:blipFill rotWithShape="1">
                    <a:blip r:embed="rId8">
                      <a:extLst>
                        <a:ext uri="{28A0092B-C50C-407E-A947-70E740481C1C}">
                          <a14:useLocalDpi xmlns:a14="http://schemas.microsoft.com/office/drawing/2010/main" val="0"/>
                        </a:ext>
                      </a:extLst>
                    </a:blip>
                    <a:srcRect l="15280" t="5834" r="13547" b="2630"/>
                    <a:stretch/>
                  </pic:blipFill>
                  <pic:spPr bwMode="auto">
                    <a:xfrm>
                      <a:off x="0" y="0"/>
                      <a:ext cx="2846322" cy="1861438"/>
                    </a:xfrm>
                    <a:prstGeom prst="rect">
                      <a:avLst/>
                    </a:prstGeom>
                    <a:noFill/>
                    <a:ln>
                      <a:noFill/>
                    </a:ln>
                    <a:extLst>
                      <a:ext uri="{53640926-AAD7-44D8-BBD7-CCE9431645EC}">
                        <a14:shadowObscured xmlns:a14="http://schemas.microsoft.com/office/drawing/2010/main"/>
                      </a:ext>
                    </a:extLst>
                  </pic:spPr>
                </pic:pic>
              </a:graphicData>
            </a:graphic>
          </wp:inline>
        </w:drawing>
      </w:r>
      <w:r w:rsidR="005F2699">
        <w:rPr>
          <w:noProof/>
        </w:rPr>
        <w:drawing>
          <wp:inline distT="0" distB="0" distL="0" distR="0" wp14:anchorId="14FC2B60" wp14:editId="61B399F6">
            <wp:extent cx="2783393" cy="1864944"/>
            <wp:effectExtent l="0" t="0" r="0" b="2540"/>
            <wp:docPr id="8300799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15204" t="4010" r="13389" b="1898"/>
                    <a:stretch/>
                  </pic:blipFill>
                  <pic:spPr bwMode="auto">
                    <a:xfrm>
                      <a:off x="0" y="0"/>
                      <a:ext cx="2810950" cy="1883408"/>
                    </a:xfrm>
                    <a:prstGeom prst="rect">
                      <a:avLst/>
                    </a:prstGeom>
                    <a:noFill/>
                    <a:ln>
                      <a:noFill/>
                    </a:ln>
                    <a:extLst>
                      <a:ext uri="{53640926-AAD7-44D8-BBD7-CCE9431645EC}">
                        <a14:shadowObscured xmlns:a14="http://schemas.microsoft.com/office/drawing/2010/main"/>
                      </a:ext>
                    </a:extLst>
                  </pic:spPr>
                </pic:pic>
              </a:graphicData>
            </a:graphic>
          </wp:inline>
        </w:drawing>
      </w:r>
    </w:p>
    <w:p w14:paraId="308EF952" w14:textId="4F89F22B" w:rsidR="00F778B8" w:rsidRPr="0016778C" w:rsidRDefault="00F778B8" w:rsidP="00F778B8">
      <w:pPr>
        <w:pStyle w:val="Lgende"/>
        <w:jc w:val="center"/>
        <w:rPr>
          <w:noProof/>
        </w:rPr>
      </w:pPr>
      <w:bookmarkStart w:id="9" w:name="_Ref152798627"/>
      <w:r>
        <w:t xml:space="preserve">Figure </w:t>
      </w:r>
      <w:fldSimple w:instr=" SEQ Figure \* ARABIC ">
        <w:r w:rsidR="006F6C69">
          <w:rPr>
            <w:noProof/>
          </w:rPr>
          <w:t>1</w:t>
        </w:r>
      </w:fldSimple>
      <w:bookmarkEnd w:id="9"/>
      <w:r>
        <w:t xml:space="preserve"> : Hexagones sectoriels des forces de </w:t>
      </w:r>
      <w:r w:rsidR="23E72072">
        <w:t>Porter</w:t>
      </w:r>
      <w:r>
        <w:t xml:space="preserve"> pour les années 2008 et 2018</w:t>
      </w:r>
    </w:p>
    <w:p w14:paraId="75EC4E76" w14:textId="6235CEA1" w:rsidR="00573EF8" w:rsidRPr="0016778C" w:rsidRDefault="00573EF8" w:rsidP="00573EF8">
      <w:pPr>
        <w:pStyle w:val="Titre2"/>
        <w:rPr>
          <w:rFonts w:hint="eastAsia"/>
        </w:rPr>
      </w:pPr>
      <w:bookmarkStart w:id="10" w:name="_Toc152798930"/>
      <w:r w:rsidRPr="0016778C">
        <w:t>Conclusion</w:t>
      </w:r>
      <w:r w:rsidR="00827F1A" w:rsidRPr="0016778C">
        <w:t>s</w:t>
      </w:r>
      <w:r w:rsidR="00521564" w:rsidRPr="0016778C">
        <w:t xml:space="preserve"> sur </w:t>
      </w:r>
      <w:r w:rsidR="006F1DDA" w:rsidRPr="0016778C">
        <w:t>les données extraites</w:t>
      </w:r>
      <w:bookmarkEnd w:id="10"/>
    </w:p>
    <w:p w14:paraId="5208C472" w14:textId="77777777" w:rsidR="00570CE7" w:rsidRDefault="00570CE7" w:rsidP="00570CE7">
      <w:bookmarkStart w:id="11" w:name="_Toc1056684172"/>
      <w:r>
        <w:t xml:space="preserve">L'industrie sidérurgique a subi des changements significatifs en une décennie, avec une pression croissante sur les prix due à une concurrence intense et une </w:t>
      </w:r>
      <w:r w:rsidRPr="00C25593">
        <w:rPr>
          <w:rStyle w:val="lev"/>
        </w:rPr>
        <w:t>menace grandissante des substituts</w:t>
      </w:r>
      <w:r>
        <w:t>.</w:t>
      </w:r>
    </w:p>
    <w:p w14:paraId="56AE9998" w14:textId="153FF78E" w:rsidR="00570CE7" w:rsidRDefault="00570CE7" w:rsidP="00570CE7">
      <w:r>
        <w:t xml:space="preserve">La consolidation entre les acteurs existants a été une réponse à ces défis, mais la </w:t>
      </w:r>
      <w:r w:rsidRPr="00B714C3">
        <w:rPr>
          <w:rStyle w:val="lev"/>
        </w:rPr>
        <w:t>diversification des sources d'approvisionnement</w:t>
      </w:r>
      <w:r>
        <w:t xml:space="preserve"> et l'innovation sont cruciales pour maintenir la compétitivité.</w:t>
      </w:r>
    </w:p>
    <w:p w14:paraId="224E33CE" w14:textId="77777777" w:rsidR="005163BA" w:rsidRDefault="00570CE7" w:rsidP="00570CE7">
      <w:r w:rsidRPr="00C25593">
        <w:rPr>
          <w:rStyle w:val="lev"/>
        </w:rPr>
        <w:t>Réduire la dépendance aux matières premières</w:t>
      </w:r>
      <w:r>
        <w:t xml:space="preserve"> et développer des stratégies pour </w:t>
      </w:r>
      <w:r w:rsidRPr="00C25593">
        <w:rPr>
          <w:rStyle w:val="lev"/>
        </w:rPr>
        <w:t>contrer les substituts</w:t>
      </w:r>
      <w:r>
        <w:t xml:space="preserve"> restent des priorités pour l'industrie sidérurgique pour s'adapter à un environnement concurrentiel en mutation.</w:t>
      </w:r>
      <w:r w:rsidRPr="0016778C">
        <w:t xml:space="preserve"> </w:t>
      </w:r>
    </w:p>
    <w:p w14:paraId="7B75DA18" w14:textId="131EDE98" w:rsidR="00A95369" w:rsidRPr="0016778C" w:rsidRDefault="00A95369" w:rsidP="00570CE7">
      <w:r w:rsidRPr="0016778C">
        <w:br w:type="page"/>
      </w:r>
    </w:p>
    <w:p w14:paraId="78703F31" w14:textId="32216CD0" w:rsidR="64C003EB" w:rsidRPr="0016778C" w:rsidRDefault="130EA8DE" w:rsidP="00A67ABD">
      <w:pPr>
        <w:pStyle w:val="Titre1"/>
        <w:rPr>
          <w:rFonts w:hint="eastAsia"/>
        </w:rPr>
      </w:pPr>
      <w:bookmarkStart w:id="12" w:name="_Toc915362444"/>
      <w:bookmarkStart w:id="13" w:name="_Toc152798931"/>
      <w:bookmarkEnd w:id="11"/>
      <w:r w:rsidRPr="0016778C">
        <w:lastRenderedPageBreak/>
        <w:t>Questions d’avenir</w:t>
      </w:r>
      <w:bookmarkEnd w:id="12"/>
      <w:bookmarkEnd w:id="13"/>
    </w:p>
    <w:p w14:paraId="334BDB79" w14:textId="2C2A02AA" w:rsidR="64C003EB" w:rsidRPr="0016778C" w:rsidRDefault="64C003EB" w:rsidP="00A67ABD">
      <w:r w:rsidRPr="0016778C">
        <w:t>L'évolution de l'attractivité de l'industrie sidérurgique dépendra de divers facteurs qui pourraient influencer le profil de l'hexagone sectoriel.</w:t>
      </w:r>
    </w:p>
    <w:p w14:paraId="0EB8FFD8" w14:textId="118AA62A" w:rsidR="64C003EB" w:rsidRPr="0016778C" w:rsidRDefault="130EA8DE" w:rsidP="00A67ABD">
      <w:pPr>
        <w:pStyle w:val="Titre2"/>
        <w:rPr>
          <w:rFonts w:hint="eastAsia"/>
        </w:rPr>
      </w:pPr>
      <w:bookmarkStart w:id="14" w:name="_Toc1269794750"/>
      <w:bookmarkStart w:id="15" w:name="_Toc152798932"/>
      <w:r w:rsidRPr="0016778C">
        <w:t>Facteurs pouvant rendre l'industrie plus attractive</w:t>
      </w:r>
      <w:bookmarkEnd w:id="14"/>
      <w:bookmarkEnd w:id="15"/>
    </w:p>
    <w:p w14:paraId="6771E754" w14:textId="7DBBD430" w:rsidR="64C003EB" w:rsidRPr="0016778C" w:rsidRDefault="64C003EB" w:rsidP="00A67ABD">
      <w:pPr>
        <w:pStyle w:val="Paragraphedeliste"/>
        <w:numPr>
          <w:ilvl w:val="0"/>
          <w:numId w:val="17"/>
        </w:numPr>
      </w:pPr>
      <w:r w:rsidRPr="00322218">
        <w:rPr>
          <w:rStyle w:val="lev"/>
        </w:rPr>
        <w:t>Innovations technologiques</w:t>
      </w:r>
      <w:r w:rsidRPr="0016778C">
        <w:rPr>
          <w:b/>
          <w:bCs/>
        </w:rPr>
        <w:t xml:space="preserve"> :</w:t>
      </w:r>
      <w:r w:rsidRPr="0016778C">
        <w:t xml:space="preserve"> Des avancées dans les procédés de production, l'introduction de nouvelles technologies plus efficaces ou durables pourraient améliorer la compétitivité de l'acier face aux substituts.</w:t>
      </w:r>
    </w:p>
    <w:p w14:paraId="3EC1B204" w14:textId="7DBBD430" w:rsidR="64C003EB" w:rsidRPr="0016778C" w:rsidRDefault="64C003EB" w:rsidP="00A67ABD">
      <w:pPr>
        <w:pStyle w:val="Paragraphedeliste"/>
        <w:numPr>
          <w:ilvl w:val="0"/>
          <w:numId w:val="17"/>
        </w:numPr>
      </w:pPr>
      <w:r w:rsidRPr="00322218">
        <w:rPr>
          <w:rStyle w:val="lev"/>
        </w:rPr>
        <w:t>Demande croissante dans certains secteurs</w:t>
      </w:r>
      <w:r w:rsidRPr="0016778C">
        <w:rPr>
          <w:b/>
          <w:bCs/>
        </w:rPr>
        <w:t xml:space="preserve"> :</w:t>
      </w:r>
      <w:r w:rsidRPr="0016778C">
        <w:t xml:space="preserve"> Si des secteurs clés comme l'automobile ou la construction connaissent une forte demande, cela pourrait stimuler la demande d'acier.</w:t>
      </w:r>
    </w:p>
    <w:p w14:paraId="58BB11E6" w14:textId="7DBBD430" w:rsidR="64C003EB" w:rsidRPr="0016778C" w:rsidRDefault="64C003EB" w:rsidP="00A67ABD">
      <w:pPr>
        <w:pStyle w:val="Paragraphedeliste"/>
        <w:numPr>
          <w:ilvl w:val="0"/>
          <w:numId w:val="17"/>
        </w:numPr>
      </w:pPr>
      <w:r w:rsidRPr="00322218">
        <w:rPr>
          <w:rStyle w:val="lev"/>
        </w:rPr>
        <w:t>Investissements durables</w:t>
      </w:r>
      <w:r w:rsidRPr="0016778C">
        <w:rPr>
          <w:b/>
          <w:bCs/>
        </w:rPr>
        <w:t xml:space="preserve"> :</w:t>
      </w:r>
      <w:r w:rsidRPr="0016778C">
        <w:t xml:space="preserve"> L'accent sur des pratiques plus durables et respectueuses de l'environnement pourrait attirer des investissements en mettant l'accent sur des processus de production plus écologiques.</w:t>
      </w:r>
    </w:p>
    <w:p w14:paraId="2342051E" w14:textId="623FAB04" w:rsidR="64C003EB" w:rsidRPr="0016778C" w:rsidRDefault="130EA8DE" w:rsidP="00990BDB">
      <w:pPr>
        <w:pStyle w:val="Titre2"/>
        <w:rPr>
          <w:rFonts w:hint="eastAsia"/>
        </w:rPr>
      </w:pPr>
      <w:bookmarkStart w:id="16" w:name="_Toc1347152007"/>
      <w:bookmarkStart w:id="17" w:name="_Toc152798933"/>
      <w:r w:rsidRPr="0016778C">
        <w:t>Facteurs pouvant rendre l'industrie moins attractive</w:t>
      </w:r>
      <w:bookmarkEnd w:id="16"/>
      <w:bookmarkEnd w:id="17"/>
    </w:p>
    <w:p w14:paraId="4027C871" w14:textId="7DBBD430" w:rsidR="64C003EB" w:rsidRPr="0016778C" w:rsidRDefault="64C003EB" w:rsidP="00A67ABD">
      <w:pPr>
        <w:pStyle w:val="Paragraphedeliste"/>
        <w:numPr>
          <w:ilvl w:val="0"/>
          <w:numId w:val="18"/>
        </w:numPr>
      </w:pPr>
      <w:r w:rsidRPr="00322218">
        <w:rPr>
          <w:rStyle w:val="lev"/>
        </w:rPr>
        <w:t>Menace des substituts</w:t>
      </w:r>
      <w:r w:rsidRPr="0016778C">
        <w:rPr>
          <w:b/>
          <w:bCs/>
        </w:rPr>
        <w:t xml:space="preserve"> :</w:t>
      </w:r>
      <w:r w:rsidRPr="0016778C">
        <w:t xml:space="preserve"> Une adoption plus large de substituts tels que l'aluminium, les composites ou d'autres matériaux dans des applications clés pourrait réduire la demande d'acier.</w:t>
      </w:r>
    </w:p>
    <w:p w14:paraId="5B2FE0AD" w14:textId="7DBBD430" w:rsidR="64C003EB" w:rsidRPr="0016778C" w:rsidRDefault="64C003EB" w:rsidP="00A67ABD">
      <w:pPr>
        <w:pStyle w:val="Paragraphedeliste"/>
        <w:numPr>
          <w:ilvl w:val="0"/>
          <w:numId w:val="18"/>
        </w:numPr>
      </w:pPr>
      <w:r w:rsidRPr="00322218">
        <w:rPr>
          <w:rStyle w:val="lev"/>
        </w:rPr>
        <w:t>Volatilité des prix des matières premières</w:t>
      </w:r>
      <w:r w:rsidRPr="0016778C">
        <w:rPr>
          <w:b/>
          <w:bCs/>
        </w:rPr>
        <w:t xml:space="preserve"> :</w:t>
      </w:r>
      <w:r w:rsidRPr="0016778C">
        <w:t xml:space="preserve"> Les fluctuations des prix du minerai de fer ou d'autres matières premières peuvent impacter les coûts de production, influençant la rentabilité de l'industrie.</w:t>
      </w:r>
    </w:p>
    <w:p w14:paraId="769F77E0" w14:textId="2A9B7A97" w:rsidR="64C003EB" w:rsidRDefault="64C003EB" w:rsidP="00A67ABD">
      <w:pPr>
        <w:pStyle w:val="Paragraphedeliste"/>
        <w:numPr>
          <w:ilvl w:val="0"/>
          <w:numId w:val="18"/>
        </w:numPr>
      </w:pPr>
      <w:r w:rsidRPr="00322218">
        <w:rPr>
          <w:rStyle w:val="lev"/>
        </w:rPr>
        <w:t>Pression réglementaire accrue</w:t>
      </w:r>
      <w:r w:rsidRPr="0016778C">
        <w:rPr>
          <w:b/>
          <w:bCs/>
        </w:rPr>
        <w:t xml:space="preserve"> :</w:t>
      </w:r>
      <w:r w:rsidRPr="0016778C">
        <w:t xml:space="preserve"> Des </w:t>
      </w:r>
      <w:r w:rsidR="7CD659DA" w:rsidRPr="0016778C">
        <w:t>règlementations</w:t>
      </w:r>
      <w:r w:rsidRPr="0016778C">
        <w:t xml:space="preserve"> environnementales plus strictes pourraient augmenter les coûts de conformité et réduire la flexibilité opérationnelle.</w:t>
      </w:r>
    </w:p>
    <w:p w14:paraId="3B9E22B6" w14:textId="548C9CF1" w:rsidR="009A6948" w:rsidRDefault="009A6948">
      <w:pPr>
        <w:keepNext w:val="0"/>
        <w:keepLines w:val="0"/>
      </w:pPr>
      <w:r>
        <w:br w:type="page"/>
      </w:r>
    </w:p>
    <w:p w14:paraId="70DC2912" w14:textId="06FE001A" w:rsidR="64C003EB" w:rsidRPr="0016778C" w:rsidRDefault="130EA8DE" w:rsidP="00A67ABD">
      <w:pPr>
        <w:pStyle w:val="Titre2"/>
        <w:rPr>
          <w:rFonts w:hint="eastAsia"/>
        </w:rPr>
      </w:pPr>
      <w:bookmarkStart w:id="18" w:name="_Toc203668841"/>
      <w:bookmarkStart w:id="19" w:name="_Toc152798934"/>
      <w:r w:rsidRPr="0016778C">
        <w:lastRenderedPageBreak/>
        <w:t>Évolution</w:t>
      </w:r>
      <w:r w:rsidR="00CF6472" w:rsidRPr="0016778C">
        <w:t>s</w:t>
      </w:r>
      <w:r w:rsidRPr="0016778C">
        <w:t xml:space="preserve"> potentielle</w:t>
      </w:r>
      <w:bookmarkEnd w:id="18"/>
      <w:r w:rsidR="00CF6472" w:rsidRPr="0016778C">
        <w:t>s</w:t>
      </w:r>
      <w:bookmarkEnd w:id="19"/>
    </w:p>
    <w:p w14:paraId="0B88E1F5" w14:textId="48DF24D1" w:rsidR="64C003EB" w:rsidRPr="0016778C" w:rsidRDefault="64C003EB" w:rsidP="00A67ABD">
      <w:r w:rsidRPr="0016778C">
        <w:t xml:space="preserve">Si l'industrie sidérurgique évolue dans les années à venir, le profil de l'hexagone sectoriel pourrait suivre </w:t>
      </w:r>
      <w:r w:rsidR="009A6948">
        <w:t>les</w:t>
      </w:r>
      <w:r w:rsidR="009A6948" w:rsidRPr="0016778C">
        <w:t xml:space="preserve"> tendances</w:t>
      </w:r>
      <w:r w:rsidR="009A6948">
        <w:t xml:space="preserve"> présentées dans le tableau suivant</w:t>
      </w:r>
      <w:r w:rsidRPr="0016778C">
        <w:t xml:space="preserve">. </w:t>
      </w:r>
    </w:p>
    <w:tbl>
      <w:tblPr>
        <w:tblStyle w:val="Grilledutableau"/>
        <w:tblW w:w="0" w:type="auto"/>
        <w:tblLook w:val="04A0" w:firstRow="1" w:lastRow="0" w:firstColumn="1" w:lastColumn="0" w:noHBand="0" w:noVBand="1"/>
      </w:tblPr>
      <w:tblGrid>
        <w:gridCol w:w="2131"/>
        <w:gridCol w:w="6134"/>
        <w:gridCol w:w="751"/>
      </w:tblGrid>
      <w:tr w:rsidR="00900124" w:rsidRPr="0016778C" w14:paraId="3C0EE4E6" w14:textId="621E198D" w:rsidTr="004A5D79">
        <w:tc>
          <w:tcPr>
            <w:tcW w:w="0" w:type="auto"/>
            <w:shd w:val="clear" w:color="auto" w:fill="D9D9D9" w:themeFill="background1" w:themeFillShade="D9"/>
          </w:tcPr>
          <w:p w14:paraId="7C46B4EC" w14:textId="57E3B928" w:rsidR="00900124" w:rsidRPr="0016778C" w:rsidRDefault="00900124" w:rsidP="00A67ABD">
            <w:pPr>
              <w:rPr>
                <w:rStyle w:val="lev"/>
              </w:rPr>
            </w:pPr>
            <w:r w:rsidRPr="0016778C">
              <w:rPr>
                <w:rStyle w:val="lev"/>
              </w:rPr>
              <w:t>Force</w:t>
            </w:r>
            <w:r w:rsidR="00A05793" w:rsidRPr="0016778C">
              <w:rPr>
                <w:rStyle w:val="lev"/>
              </w:rPr>
              <w:t>s</w:t>
            </w:r>
          </w:p>
        </w:tc>
        <w:tc>
          <w:tcPr>
            <w:tcW w:w="0" w:type="auto"/>
            <w:shd w:val="clear" w:color="auto" w:fill="D9D9D9" w:themeFill="background1" w:themeFillShade="D9"/>
          </w:tcPr>
          <w:p w14:paraId="3F97C289" w14:textId="73F6A34D" w:rsidR="00900124" w:rsidRPr="0016778C" w:rsidRDefault="00900124" w:rsidP="00A67ABD">
            <w:pPr>
              <w:rPr>
                <w:rStyle w:val="lev"/>
              </w:rPr>
            </w:pPr>
            <w:r w:rsidRPr="0016778C">
              <w:rPr>
                <w:rStyle w:val="lev"/>
              </w:rPr>
              <w:t>Description</w:t>
            </w:r>
            <w:r w:rsidR="00A05793" w:rsidRPr="0016778C">
              <w:rPr>
                <w:rStyle w:val="lev"/>
              </w:rPr>
              <w:t>s</w:t>
            </w:r>
          </w:p>
        </w:tc>
        <w:tc>
          <w:tcPr>
            <w:tcW w:w="0" w:type="auto"/>
            <w:shd w:val="clear" w:color="auto" w:fill="D9D9D9" w:themeFill="background1" w:themeFillShade="D9"/>
          </w:tcPr>
          <w:p w14:paraId="37C7317B" w14:textId="092431AE" w:rsidR="00900124" w:rsidRPr="0016778C" w:rsidRDefault="00900124" w:rsidP="00A67ABD">
            <w:pPr>
              <w:rPr>
                <w:rStyle w:val="lev"/>
              </w:rPr>
            </w:pPr>
            <w:r w:rsidRPr="0016778C">
              <w:rPr>
                <w:rStyle w:val="lev"/>
              </w:rPr>
              <w:t>Notes</w:t>
            </w:r>
          </w:p>
        </w:tc>
      </w:tr>
      <w:tr w:rsidR="00900124" w:rsidRPr="0016778C" w14:paraId="08943ECB" w14:textId="2DC0C66C" w:rsidTr="004A5D79">
        <w:tc>
          <w:tcPr>
            <w:tcW w:w="0" w:type="auto"/>
            <w:shd w:val="clear" w:color="auto" w:fill="D9D9D9" w:themeFill="background1" w:themeFillShade="D9"/>
          </w:tcPr>
          <w:p w14:paraId="2270314F" w14:textId="697360B6" w:rsidR="00900124" w:rsidRPr="006F63B9" w:rsidRDefault="00676F45" w:rsidP="00A67ABD">
            <w:pPr>
              <w:rPr>
                <w:rStyle w:val="lev"/>
                <w:highlight w:val="yellow"/>
              </w:rPr>
            </w:pPr>
            <w:r w:rsidRPr="00676F45">
              <w:rPr>
                <w:rStyle w:val="lev"/>
              </w:rPr>
              <w:t>Menace des entrants potentiels</w:t>
            </w:r>
          </w:p>
        </w:tc>
        <w:tc>
          <w:tcPr>
            <w:tcW w:w="0" w:type="auto"/>
          </w:tcPr>
          <w:p w14:paraId="452070CD" w14:textId="5DEF430C" w:rsidR="00900124" w:rsidRPr="007E2536" w:rsidRDefault="003836E3" w:rsidP="00A67ABD">
            <w:r w:rsidRPr="007E2536">
              <w:t>Les barrières à l'entrée demeurent élevées en raison des coûts d'entrée élevés et des réglementations strictes. Cependant, la concentration continue des acteurs existants peut limiter les opportunités pour de nouveaux entrants.</w:t>
            </w:r>
          </w:p>
        </w:tc>
        <w:tc>
          <w:tcPr>
            <w:tcW w:w="0" w:type="auto"/>
          </w:tcPr>
          <w:p w14:paraId="5788F234" w14:textId="35F2F028" w:rsidR="00900124" w:rsidRPr="007E2536" w:rsidRDefault="00D83B11" w:rsidP="00A67ABD">
            <w:r>
              <w:t>3</w:t>
            </w:r>
            <w:r w:rsidR="00A05793" w:rsidRPr="007E2536">
              <w:t>/5</w:t>
            </w:r>
          </w:p>
        </w:tc>
      </w:tr>
      <w:tr w:rsidR="00A77CAB" w:rsidRPr="0016778C" w14:paraId="04D44DAE" w14:textId="77777777" w:rsidTr="004A5D79">
        <w:tc>
          <w:tcPr>
            <w:tcW w:w="0" w:type="auto"/>
            <w:shd w:val="clear" w:color="auto" w:fill="D9D9D9" w:themeFill="background1" w:themeFillShade="D9"/>
          </w:tcPr>
          <w:p w14:paraId="42A9886E" w14:textId="25245EA5" w:rsidR="00A77CAB" w:rsidRPr="00B07C7E" w:rsidRDefault="009C6827" w:rsidP="00A67ABD">
            <w:pPr>
              <w:rPr>
                <w:rStyle w:val="lev"/>
              </w:rPr>
            </w:pPr>
            <w:r w:rsidRPr="0016778C">
              <w:rPr>
                <w:rStyle w:val="lev"/>
              </w:rPr>
              <w:t>Menace des substituts</w:t>
            </w:r>
          </w:p>
        </w:tc>
        <w:tc>
          <w:tcPr>
            <w:tcW w:w="0" w:type="auto"/>
          </w:tcPr>
          <w:p w14:paraId="7CE3CD15" w14:textId="2F2C22DD" w:rsidR="00A77CAB" w:rsidRPr="007E2536" w:rsidRDefault="00EB0472" w:rsidP="00A67ABD">
            <w:r w:rsidRPr="007E2536">
              <w:t>La menace des substituts comme l'aluminium, les composites et d'autres matériaux est en augmentation. Les avancées technologiques continuent de renforcer cette menace, surtout dans des secteurs clés.</w:t>
            </w:r>
          </w:p>
        </w:tc>
        <w:tc>
          <w:tcPr>
            <w:tcW w:w="0" w:type="auto"/>
          </w:tcPr>
          <w:p w14:paraId="4A3F98C3" w14:textId="30CF6D73" w:rsidR="00A77CAB" w:rsidRPr="007E2536" w:rsidRDefault="00D83B11" w:rsidP="00A67ABD">
            <w:r>
              <w:t>4</w:t>
            </w:r>
            <w:r w:rsidR="00B07C7E" w:rsidRPr="007E2536">
              <w:t>/5</w:t>
            </w:r>
          </w:p>
        </w:tc>
      </w:tr>
      <w:tr w:rsidR="00900124" w:rsidRPr="0016778C" w14:paraId="0503D75B" w14:textId="77777777" w:rsidTr="004A5D79">
        <w:tc>
          <w:tcPr>
            <w:tcW w:w="0" w:type="auto"/>
            <w:shd w:val="clear" w:color="auto" w:fill="D9D9D9" w:themeFill="background1" w:themeFillShade="D9"/>
          </w:tcPr>
          <w:p w14:paraId="5E626448" w14:textId="2487A228" w:rsidR="00900124" w:rsidRPr="0016778C" w:rsidRDefault="00900124" w:rsidP="00A67ABD">
            <w:pPr>
              <w:rPr>
                <w:rStyle w:val="lev"/>
              </w:rPr>
            </w:pPr>
            <w:r w:rsidRPr="0016778C">
              <w:rPr>
                <w:rStyle w:val="lev"/>
              </w:rPr>
              <w:t>Pouvoir de négociation des acheteurs</w:t>
            </w:r>
          </w:p>
        </w:tc>
        <w:tc>
          <w:tcPr>
            <w:tcW w:w="0" w:type="auto"/>
          </w:tcPr>
          <w:p w14:paraId="7FAE1763" w14:textId="6E12A790" w:rsidR="00900124" w:rsidRPr="007E2536" w:rsidRDefault="00D909DB" w:rsidP="00A67ABD">
            <w:r w:rsidRPr="007E2536">
              <w:t>Avec une demande stagnante voire en baisse, les acheteurs exercent une pression considérable sur les prix et les conditions d'approvisionnement. Leur pouvoir de négociation demeure élevé.</w:t>
            </w:r>
          </w:p>
        </w:tc>
        <w:tc>
          <w:tcPr>
            <w:tcW w:w="0" w:type="auto"/>
          </w:tcPr>
          <w:p w14:paraId="54C42D1F" w14:textId="69DE6785" w:rsidR="00900124" w:rsidRPr="007E2536" w:rsidRDefault="00A05793" w:rsidP="00A67ABD">
            <w:r w:rsidRPr="007E2536">
              <w:t>4/5</w:t>
            </w:r>
          </w:p>
        </w:tc>
      </w:tr>
      <w:tr w:rsidR="00A77CAB" w:rsidRPr="0016778C" w14:paraId="01B68907" w14:textId="77777777" w:rsidTr="004A5D79">
        <w:tc>
          <w:tcPr>
            <w:tcW w:w="0" w:type="auto"/>
            <w:shd w:val="clear" w:color="auto" w:fill="D9D9D9" w:themeFill="background1" w:themeFillShade="D9"/>
          </w:tcPr>
          <w:p w14:paraId="5EA2D3A7" w14:textId="321E4056" w:rsidR="00A77CAB" w:rsidRPr="0016778C" w:rsidRDefault="00A77CAB" w:rsidP="00A77CAB">
            <w:pPr>
              <w:rPr>
                <w:rStyle w:val="lev"/>
              </w:rPr>
            </w:pPr>
            <w:r w:rsidRPr="0016778C">
              <w:rPr>
                <w:rStyle w:val="lev"/>
              </w:rPr>
              <w:t>Pouvoir de négociation des fournisseurs</w:t>
            </w:r>
          </w:p>
        </w:tc>
        <w:tc>
          <w:tcPr>
            <w:tcW w:w="0" w:type="auto"/>
          </w:tcPr>
          <w:p w14:paraId="279E8AE1" w14:textId="5A7953C0" w:rsidR="00A77CAB" w:rsidRPr="007E2536" w:rsidRDefault="00DD72E5" w:rsidP="00A77CAB">
            <w:r w:rsidRPr="00DD72E5">
              <w:t>Bien que les grands fournisseurs de matières premières conservent une certaine emprise sur le marché, les entreprises sidérurgiques ont diversifié leurs sources d'approvisionnement pour réduire leur dépendance.</w:t>
            </w:r>
          </w:p>
        </w:tc>
        <w:tc>
          <w:tcPr>
            <w:tcW w:w="0" w:type="auto"/>
          </w:tcPr>
          <w:p w14:paraId="0842B215" w14:textId="3E974F9F" w:rsidR="00A77CAB" w:rsidRPr="007E2536" w:rsidRDefault="00D83B11" w:rsidP="00A77CAB">
            <w:r>
              <w:t>3</w:t>
            </w:r>
            <w:r w:rsidR="00A77CAB" w:rsidRPr="007E2536">
              <w:t>/5</w:t>
            </w:r>
          </w:p>
        </w:tc>
      </w:tr>
      <w:tr w:rsidR="00A77CAB" w:rsidRPr="0016778C" w14:paraId="3B1C8FD4" w14:textId="77777777" w:rsidTr="004A5D79">
        <w:tc>
          <w:tcPr>
            <w:tcW w:w="0" w:type="auto"/>
            <w:shd w:val="clear" w:color="auto" w:fill="D9D9D9" w:themeFill="background1" w:themeFillShade="D9"/>
          </w:tcPr>
          <w:p w14:paraId="7AE5975F" w14:textId="0292F1CE" w:rsidR="00A77CAB" w:rsidRPr="0016778C" w:rsidRDefault="00A77CAB" w:rsidP="00A77CAB">
            <w:pPr>
              <w:rPr>
                <w:rStyle w:val="lev"/>
              </w:rPr>
            </w:pPr>
            <w:r w:rsidRPr="0016778C">
              <w:rPr>
                <w:rStyle w:val="lev"/>
              </w:rPr>
              <w:t>Intensité concurrentielle</w:t>
            </w:r>
          </w:p>
        </w:tc>
        <w:tc>
          <w:tcPr>
            <w:tcW w:w="0" w:type="auto"/>
          </w:tcPr>
          <w:p w14:paraId="54ED232D" w14:textId="4E8962C4" w:rsidR="00A77CAB" w:rsidRPr="007E2536" w:rsidRDefault="00077F73" w:rsidP="00A77CAB">
            <w:r w:rsidRPr="00077F73">
              <w:t>La concurrence entre les acteurs existants reste intense, avec une consolidation continue. Les entreprises se concentrent sur la qualité, l'efficacité et l'innovation pour se démarquer.</w:t>
            </w:r>
          </w:p>
        </w:tc>
        <w:tc>
          <w:tcPr>
            <w:tcW w:w="0" w:type="auto"/>
          </w:tcPr>
          <w:p w14:paraId="286B655E" w14:textId="6FEA8A7E" w:rsidR="00A77CAB" w:rsidRPr="007E2536" w:rsidRDefault="00A77CAB" w:rsidP="00A77CAB">
            <w:r w:rsidRPr="007E2536">
              <w:t>4/5</w:t>
            </w:r>
          </w:p>
        </w:tc>
      </w:tr>
      <w:tr w:rsidR="00A77CAB" w:rsidRPr="0016778C" w14:paraId="338CBE43" w14:textId="77777777" w:rsidTr="004A5D79">
        <w:tc>
          <w:tcPr>
            <w:tcW w:w="0" w:type="auto"/>
            <w:shd w:val="clear" w:color="auto" w:fill="D9D9D9" w:themeFill="background1" w:themeFillShade="D9"/>
          </w:tcPr>
          <w:p w14:paraId="066F6C37" w14:textId="2CDDB084" w:rsidR="00A77CAB" w:rsidRPr="006F63B9" w:rsidRDefault="007E2536" w:rsidP="00A77CAB">
            <w:pPr>
              <w:rPr>
                <w:rStyle w:val="lev"/>
                <w:highlight w:val="yellow"/>
              </w:rPr>
            </w:pPr>
            <w:r w:rsidRPr="007E2536">
              <w:rPr>
                <w:rStyle w:val="lev"/>
              </w:rPr>
              <w:t>Rôle des pouvoirs publics</w:t>
            </w:r>
          </w:p>
        </w:tc>
        <w:tc>
          <w:tcPr>
            <w:tcW w:w="0" w:type="auto"/>
          </w:tcPr>
          <w:p w14:paraId="7B97243D" w14:textId="00F3D824" w:rsidR="00A77CAB" w:rsidRPr="007E2536" w:rsidRDefault="002E2C4C" w:rsidP="00A77CAB">
            <w:r w:rsidRPr="002E2C4C">
              <w:t>Les gouvernements maintiennent une réglementation stricte, notamment en matière environnementale, tout en soutenant l'industrie sidérurgique, bien que leur emprise puisse varier selon les régions.</w:t>
            </w:r>
          </w:p>
        </w:tc>
        <w:tc>
          <w:tcPr>
            <w:tcW w:w="0" w:type="auto"/>
          </w:tcPr>
          <w:p w14:paraId="70562315" w14:textId="38C71781" w:rsidR="00A77CAB" w:rsidRPr="007E2536" w:rsidRDefault="007E2536" w:rsidP="00A77CAB">
            <w:r w:rsidRPr="007E2536">
              <w:t>3/5</w:t>
            </w:r>
          </w:p>
        </w:tc>
      </w:tr>
    </w:tbl>
    <w:p w14:paraId="4E0C225B" w14:textId="77777777" w:rsidR="009A6948" w:rsidRDefault="009A6948" w:rsidP="009A6948">
      <w:pPr>
        <w:rPr>
          <w:noProof/>
        </w:rPr>
      </w:pPr>
    </w:p>
    <w:p w14:paraId="7EBCD15E" w14:textId="02B4BC09" w:rsidR="009A6948" w:rsidRDefault="009A6948" w:rsidP="009A6948">
      <w:pPr>
        <w:rPr>
          <w:noProof/>
        </w:rPr>
      </w:pPr>
      <w:r>
        <w:rPr>
          <w:noProof/>
        </w:rPr>
        <w:t>Ainsi</w:t>
      </w:r>
      <w:r w:rsidR="00C47B61">
        <w:rPr>
          <w:noProof/>
        </w:rPr>
        <w:t>,</w:t>
      </w:r>
      <w:r>
        <w:rPr>
          <w:noProof/>
        </w:rPr>
        <w:t xml:space="preserve"> </w:t>
      </w:r>
      <w:r w:rsidR="00C47B61">
        <w:rPr>
          <w:noProof/>
        </w:rPr>
        <w:t xml:space="preserve">en </w:t>
      </w:r>
      <w:r w:rsidR="00BF6034">
        <w:rPr>
          <w:noProof/>
        </w:rPr>
        <w:t>utilisant</w:t>
      </w:r>
      <w:r w:rsidR="00C47B61">
        <w:rPr>
          <w:noProof/>
        </w:rPr>
        <w:t xml:space="preserve"> les données </w:t>
      </w:r>
      <w:r w:rsidR="005F08E6">
        <w:rPr>
          <w:noProof/>
        </w:rPr>
        <w:t xml:space="preserve">énoncé dans le tableau ci-dessus </w:t>
      </w:r>
      <w:r w:rsidR="00C47B61">
        <w:rPr>
          <w:noProof/>
        </w:rPr>
        <w:t xml:space="preserve">nous obtenons </w:t>
      </w:r>
      <w:r w:rsidR="005F08E6">
        <w:rPr>
          <w:noProof/>
        </w:rPr>
        <w:t xml:space="preserve">l’hexagone prévisionnel </w:t>
      </w:r>
      <w:r w:rsidR="00D41E34">
        <w:rPr>
          <w:noProof/>
        </w:rPr>
        <w:t xml:space="preserve">pour </w:t>
      </w:r>
      <w:r w:rsidR="00A859EC">
        <w:rPr>
          <w:noProof/>
        </w:rPr>
        <w:t xml:space="preserve">2023 </w:t>
      </w:r>
      <w:r w:rsidR="00DA4245">
        <w:rPr>
          <w:noProof/>
        </w:rPr>
        <w:t xml:space="preserve">illustré </w:t>
      </w:r>
      <w:r w:rsidR="002719EF">
        <w:rPr>
          <w:noProof/>
        </w:rPr>
        <w:fldChar w:fldCharType="begin"/>
      </w:r>
      <w:r w:rsidR="002719EF">
        <w:rPr>
          <w:noProof/>
        </w:rPr>
        <w:instrText xml:space="preserve"> REF _Ref152781540 \h </w:instrText>
      </w:r>
      <w:r w:rsidR="002719EF">
        <w:rPr>
          <w:noProof/>
        </w:rPr>
      </w:r>
      <w:r w:rsidR="002719EF">
        <w:rPr>
          <w:noProof/>
        </w:rPr>
        <w:fldChar w:fldCharType="separate"/>
      </w:r>
      <w:r w:rsidR="006F6C69">
        <w:t xml:space="preserve">Figure </w:t>
      </w:r>
      <w:r w:rsidR="006F6C69">
        <w:rPr>
          <w:noProof/>
        </w:rPr>
        <w:t>2</w:t>
      </w:r>
      <w:r w:rsidR="002719EF">
        <w:rPr>
          <w:noProof/>
        </w:rPr>
        <w:fldChar w:fldCharType="end"/>
      </w:r>
      <w:r w:rsidR="002719EF">
        <w:rPr>
          <w:noProof/>
        </w:rPr>
        <w:t>.</w:t>
      </w:r>
    </w:p>
    <w:p w14:paraId="509BA605" w14:textId="1189BA58" w:rsidR="006415AF" w:rsidRDefault="005F2699" w:rsidP="00041FA0">
      <w:pPr>
        <w:jc w:val="center"/>
      </w:pPr>
      <w:r>
        <w:rPr>
          <w:noProof/>
        </w:rPr>
        <w:drawing>
          <wp:inline distT="0" distB="0" distL="0" distR="0" wp14:anchorId="24F11282" wp14:editId="63AFAA3E">
            <wp:extent cx="4049486" cy="2592475"/>
            <wp:effectExtent l="0" t="0" r="8255" b="0"/>
            <wp:docPr id="2306669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3178" t="4376" r="12021" b="1548"/>
                    <a:stretch/>
                  </pic:blipFill>
                  <pic:spPr bwMode="auto">
                    <a:xfrm>
                      <a:off x="0" y="0"/>
                      <a:ext cx="4049750" cy="2592644"/>
                    </a:xfrm>
                    <a:prstGeom prst="rect">
                      <a:avLst/>
                    </a:prstGeom>
                    <a:noFill/>
                    <a:ln>
                      <a:noFill/>
                    </a:ln>
                    <a:extLst>
                      <a:ext uri="{53640926-AAD7-44D8-BBD7-CCE9431645EC}">
                        <a14:shadowObscured xmlns:a14="http://schemas.microsoft.com/office/drawing/2010/main"/>
                      </a:ext>
                    </a:extLst>
                  </pic:spPr>
                </pic:pic>
              </a:graphicData>
            </a:graphic>
          </wp:inline>
        </w:drawing>
      </w:r>
    </w:p>
    <w:p w14:paraId="581A15A4" w14:textId="5DF5DFBF" w:rsidR="00D83B11" w:rsidRDefault="009A6948" w:rsidP="00E46151">
      <w:pPr>
        <w:pStyle w:val="Lgende"/>
        <w:jc w:val="center"/>
      </w:pPr>
      <w:bookmarkStart w:id="20" w:name="_Ref152781540"/>
      <w:r>
        <w:t xml:space="preserve">Figure </w:t>
      </w:r>
      <w:fldSimple w:instr=" SEQ Figure \* ARABIC ">
        <w:r w:rsidR="006F6C69">
          <w:rPr>
            <w:noProof/>
          </w:rPr>
          <w:t>2</w:t>
        </w:r>
      </w:fldSimple>
      <w:bookmarkEnd w:id="20"/>
      <w:r>
        <w:t xml:space="preserve"> : Hexagone sectoriel prévisionnel</w:t>
      </w:r>
      <w:r w:rsidR="008C5CDF">
        <w:t xml:space="preserve"> des 6 forces de </w:t>
      </w:r>
      <w:r w:rsidR="6A5C932E">
        <w:t>Porter</w:t>
      </w:r>
      <w:r>
        <w:t xml:space="preserve"> pour </w:t>
      </w:r>
      <w:r w:rsidR="008C5CDF">
        <w:t xml:space="preserve">l’année </w:t>
      </w:r>
      <w:r>
        <w:t>2023</w:t>
      </w:r>
    </w:p>
    <w:p w14:paraId="0C7993BA" w14:textId="77777777" w:rsidR="00D83B11" w:rsidRDefault="00D83B11">
      <w:pPr>
        <w:keepNext w:val="0"/>
        <w:keepLines w:val="0"/>
        <w:rPr>
          <w:i/>
          <w:iCs/>
          <w:color w:val="44546A" w:themeColor="text2"/>
          <w:szCs w:val="18"/>
        </w:rPr>
      </w:pPr>
      <w:r>
        <w:br w:type="page"/>
      </w:r>
    </w:p>
    <w:p w14:paraId="0902D900" w14:textId="33203B9E" w:rsidR="00041FA0" w:rsidRPr="0016778C" w:rsidRDefault="00041FA0" w:rsidP="00041FA0">
      <w:pPr>
        <w:pStyle w:val="Titre1"/>
        <w:rPr>
          <w:rFonts w:hint="eastAsia"/>
        </w:rPr>
      </w:pPr>
      <w:bookmarkStart w:id="21" w:name="_Toc152798935"/>
      <w:r w:rsidRPr="0016778C">
        <w:lastRenderedPageBreak/>
        <w:t>Conclusion</w:t>
      </w:r>
      <w:bookmarkEnd w:id="21"/>
    </w:p>
    <w:p w14:paraId="3C2CEE50" w14:textId="6E1E23F2" w:rsidR="00041FA0" w:rsidRPr="0016778C" w:rsidRDefault="0016778C" w:rsidP="00041FA0">
      <w:r w:rsidRPr="0016778C">
        <w:t>Comme le montre l</w:t>
      </w:r>
      <w:r w:rsidR="009A6948">
        <w:t xml:space="preserve">a </w:t>
      </w:r>
      <w:r w:rsidR="009A6948">
        <w:fldChar w:fldCharType="begin"/>
      </w:r>
      <w:r w:rsidR="009A6948">
        <w:instrText xml:space="preserve"> REF _Ref152781286 \h </w:instrText>
      </w:r>
      <w:r w:rsidR="009A6948">
        <w:fldChar w:fldCharType="separate"/>
      </w:r>
      <w:r w:rsidR="006F6C69">
        <w:t xml:space="preserve">Figure </w:t>
      </w:r>
      <w:r w:rsidR="006F6C69">
        <w:rPr>
          <w:noProof/>
        </w:rPr>
        <w:t>3</w:t>
      </w:r>
      <w:r w:rsidR="009A6948">
        <w:fldChar w:fldCharType="end"/>
      </w:r>
      <w:r w:rsidR="00B353F1">
        <w:t>,</w:t>
      </w:r>
      <w:r w:rsidR="00AF1CD4">
        <w:t xml:space="preserve"> l</w:t>
      </w:r>
      <w:r w:rsidR="00AF1CD4" w:rsidRPr="00AF1CD4">
        <w:t xml:space="preserve">'industrie sidérurgique est confrontée à des défis persistants, notamment une </w:t>
      </w:r>
      <w:r w:rsidR="00AF1CD4" w:rsidRPr="00E315B7">
        <w:rPr>
          <w:rStyle w:val="lev"/>
        </w:rPr>
        <w:t>concurrence accrue des substituts</w:t>
      </w:r>
      <w:r w:rsidR="00AF1CD4" w:rsidRPr="00AF1CD4">
        <w:t xml:space="preserve">. La consolidation entre les acteurs existants semble être une stratégie adoptée pour faire face à ces défis, mais </w:t>
      </w:r>
      <w:r w:rsidR="00AF1CD4" w:rsidRPr="00E315B7">
        <w:rPr>
          <w:rStyle w:val="lev"/>
        </w:rPr>
        <w:t>la diversification des sources d'approvisionnement</w:t>
      </w:r>
      <w:r w:rsidR="00773E20">
        <w:t xml:space="preserve"> et</w:t>
      </w:r>
      <w:r w:rsidR="00AF1CD4" w:rsidRPr="00AF1CD4">
        <w:t xml:space="preserve"> la </w:t>
      </w:r>
      <w:r w:rsidR="00AF1CD4" w:rsidRPr="00E315B7">
        <w:rPr>
          <w:rStyle w:val="lev"/>
        </w:rPr>
        <w:t>réduction de la dépendance aux matières premières</w:t>
      </w:r>
      <w:r w:rsidR="00AF1CD4" w:rsidRPr="00AF1CD4">
        <w:t xml:space="preserve"> restent essentielles pour l'avenir de l'industrie sidérurgique.</w:t>
      </w:r>
    </w:p>
    <w:p w14:paraId="44FEF396" w14:textId="7DBA9573" w:rsidR="003E113B" w:rsidRDefault="00204DC6" w:rsidP="00041FA0">
      <w:pPr>
        <w:jc w:val="center"/>
      </w:pPr>
      <w:r>
        <w:rPr>
          <w:noProof/>
        </w:rPr>
        <w:drawing>
          <wp:inline distT="0" distB="0" distL="0" distR="0" wp14:anchorId="69E958AC" wp14:editId="5C8D294F">
            <wp:extent cx="4058572" cy="2632668"/>
            <wp:effectExtent l="0" t="0" r="0" b="0"/>
            <wp:docPr id="14698738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75" t="2553" r="11925" b="1846"/>
                    <a:stretch/>
                  </pic:blipFill>
                  <pic:spPr bwMode="auto">
                    <a:xfrm>
                      <a:off x="0" y="0"/>
                      <a:ext cx="4061675" cy="2634681"/>
                    </a:xfrm>
                    <a:prstGeom prst="rect">
                      <a:avLst/>
                    </a:prstGeom>
                    <a:noFill/>
                    <a:ln>
                      <a:noFill/>
                    </a:ln>
                    <a:extLst>
                      <a:ext uri="{53640926-AAD7-44D8-BBD7-CCE9431645EC}">
                        <a14:shadowObscured xmlns:a14="http://schemas.microsoft.com/office/drawing/2010/main"/>
                      </a:ext>
                    </a:extLst>
                  </pic:spPr>
                </pic:pic>
              </a:graphicData>
            </a:graphic>
          </wp:inline>
        </w:drawing>
      </w:r>
    </w:p>
    <w:p w14:paraId="647CEA38" w14:textId="5C14EEB1" w:rsidR="009A6948" w:rsidRPr="0016778C" w:rsidRDefault="009A6948" w:rsidP="009A6948">
      <w:pPr>
        <w:pStyle w:val="Lgende"/>
        <w:jc w:val="center"/>
      </w:pPr>
      <w:bookmarkStart w:id="22" w:name="_Ref152781286"/>
      <w:bookmarkStart w:id="23" w:name="_Ref152781282"/>
      <w:r>
        <w:t xml:space="preserve">Figure </w:t>
      </w:r>
      <w:fldSimple w:instr=" SEQ Figure \* ARABIC ">
        <w:r w:rsidR="006F6C69">
          <w:rPr>
            <w:noProof/>
          </w:rPr>
          <w:t>3</w:t>
        </w:r>
      </w:fldSimple>
      <w:bookmarkEnd w:id="22"/>
      <w:r>
        <w:t xml:space="preserve"> : Hexagone sectoriel </w:t>
      </w:r>
      <w:r w:rsidR="008C5CDF">
        <w:t>croisé</w:t>
      </w:r>
      <w:r w:rsidR="00F300A8">
        <w:t xml:space="preserve"> </w:t>
      </w:r>
      <w:r>
        <w:t xml:space="preserve">des 6 forces de </w:t>
      </w:r>
      <w:r w:rsidR="1298DA3E">
        <w:t>Porter</w:t>
      </w:r>
      <w:r>
        <w:rPr>
          <w:noProof/>
        </w:rPr>
        <w:t xml:space="preserve"> en</w:t>
      </w:r>
      <w:r w:rsidR="008C5CDF">
        <w:rPr>
          <w:noProof/>
        </w:rPr>
        <w:t xml:space="preserve"> </w:t>
      </w:r>
      <w:r>
        <w:rPr>
          <w:noProof/>
        </w:rPr>
        <w:t>2008, 2018 et 2023</w:t>
      </w:r>
      <w:bookmarkEnd w:id="23"/>
    </w:p>
    <w:sectPr w:rsidR="009A6948" w:rsidRPr="0016778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1F93" w14:textId="77777777" w:rsidR="00FC4649" w:rsidRDefault="00FC4649">
      <w:pPr>
        <w:spacing w:after="0" w:line="240" w:lineRule="auto"/>
      </w:pPr>
      <w:r>
        <w:separator/>
      </w:r>
    </w:p>
  </w:endnote>
  <w:endnote w:type="continuationSeparator" w:id="0">
    <w:p w14:paraId="4CB4A844" w14:textId="77777777" w:rsidR="00FC4649" w:rsidRDefault="00FC4649">
      <w:pPr>
        <w:spacing w:after="0" w:line="240" w:lineRule="auto"/>
      </w:pPr>
      <w:r>
        <w:continuationSeparator/>
      </w:r>
    </w:p>
  </w:endnote>
  <w:endnote w:type="continuationNotice" w:id="1">
    <w:p w14:paraId="50AE06BA" w14:textId="77777777" w:rsidR="00FC4649" w:rsidRDefault="00FC4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206DC" w14:paraId="1BCEAE6D" w14:textId="77777777" w:rsidTr="366206DC">
      <w:trPr>
        <w:trHeight w:val="300"/>
      </w:trPr>
      <w:tc>
        <w:tcPr>
          <w:tcW w:w="3005" w:type="dxa"/>
        </w:tcPr>
        <w:p w14:paraId="53528748" w14:textId="26C740DD" w:rsidR="366206DC" w:rsidRDefault="366206DC" w:rsidP="366206DC">
          <w:pPr>
            <w:pStyle w:val="En-tte"/>
            <w:ind w:left="-115"/>
          </w:pPr>
        </w:p>
      </w:tc>
      <w:tc>
        <w:tcPr>
          <w:tcW w:w="3005" w:type="dxa"/>
        </w:tcPr>
        <w:p w14:paraId="16A56F01" w14:textId="1931727F" w:rsidR="366206DC" w:rsidRDefault="366206DC" w:rsidP="366206DC">
          <w:pPr>
            <w:pStyle w:val="En-tte"/>
            <w:jc w:val="center"/>
          </w:pPr>
        </w:p>
      </w:tc>
      <w:tc>
        <w:tcPr>
          <w:tcW w:w="3005" w:type="dxa"/>
        </w:tcPr>
        <w:p w14:paraId="5CA6D218" w14:textId="1B9B312F" w:rsidR="366206DC" w:rsidRDefault="366206DC" w:rsidP="366206DC">
          <w:pPr>
            <w:pStyle w:val="En-tte"/>
            <w:ind w:right="-115"/>
            <w:jc w:val="right"/>
          </w:pPr>
          <w:r>
            <w:fldChar w:fldCharType="begin"/>
          </w:r>
          <w:r>
            <w:instrText>PAGE</w:instrText>
          </w:r>
          <w:r>
            <w:fldChar w:fldCharType="separate"/>
          </w:r>
          <w:r w:rsidR="0055366C">
            <w:rPr>
              <w:noProof/>
            </w:rPr>
            <w:t>1</w:t>
          </w:r>
          <w:r>
            <w:fldChar w:fldCharType="end"/>
          </w:r>
        </w:p>
      </w:tc>
    </w:tr>
  </w:tbl>
  <w:p w14:paraId="6CBF8423" w14:textId="73DDE92D" w:rsidR="366206DC" w:rsidRDefault="366206DC" w:rsidP="366206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E178" w14:textId="77777777" w:rsidR="00FC4649" w:rsidRDefault="00FC4649">
      <w:pPr>
        <w:spacing w:after="0" w:line="240" w:lineRule="auto"/>
      </w:pPr>
      <w:r>
        <w:separator/>
      </w:r>
    </w:p>
  </w:footnote>
  <w:footnote w:type="continuationSeparator" w:id="0">
    <w:p w14:paraId="1B6DA439" w14:textId="77777777" w:rsidR="00FC4649" w:rsidRDefault="00FC4649">
      <w:pPr>
        <w:spacing w:after="0" w:line="240" w:lineRule="auto"/>
      </w:pPr>
      <w:r>
        <w:continuationSeparator/>
      </w:r>
    </w:p>
  </w:footnote>
  <w:footnote w:type="continuationNotice" w:id="1">
    <w:p w14:paraId="71FDB1AA" w14:textId="77777777" w:rsidR="00FC4649" w:rsidRDefault="00FC4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206DC" w14:paraId="3EC8AC64" w14:textId="77777777" w:rsidTr="366206DC">
      <w:trPr>
        <w:trHeight w:val="300"/>
      </w:trPr>
      <w:tc>
        <w:tcPr>
          <w:tcW w:w="3005" w:type="dxa"/>
        </w:tcPr>
        <w:p w14:paraId="0C0013EB" w14:textId="167C8F4A" w:rsidR="366206DC" w:rsidRDefault="366206DC" w:rsidP="366206DC">
          <w:pPr>
            <w:pStyle w:val="En-tte"/>
            <w:ind w:left="-115"/>
          </w:pPr>
        </w:p>
      </w:tc>
      <w:tc>
        <w:tcPr>
          <w:tcW w:w="3005" w:type="dxa"/>
        </w:tcPr>
        <w:p w14:paraId="4F807280" w14:textId="5872831C" w:rsidR="366206DC" w:rsidRDefault="366206DC" w:rsidP="366206DC">
          <w:pPr>
            <w:pStyle w:val="En-tte"/>
            <w:jc w:val="center"/>
          </w:pPr>
        </w:p>
      </w:tc>
      <w:tc>
        <w:tcPr>
          <w:tcW w:w="3005" w:type="dxa"/>
        </w:tcPr>
        <w:p w14:paraId="5572AA45" w14:textId="3F1E168A" w:rsidR="366206DC" w:rsidRDefault="366206DC" w:rsidP="366206DC">
          <w:pPr>
            <w:pStyle w:val="En-tte"/>
            <w:ind w:right="-115"/>
            <w:jc w:val="right"/>
          </w:pPr>
        </w:p>
      </w:tc>
    </w:tr>
  </w:tbl>
  <w:p w14:paraId="25376819" w14:textId="41C3A8E5" w:rsidR="366206DC" w:rsidRDefault="366206DC" w:rsidP="366206DC">
    <w:pPr>
      <w:pStyle w:val="En-tte"/>
    </w:pPr>
  </w:p>
</w:hdr>
</file>

<file path=word/intelligence2.xml><?xml version="1.0" encoding="utf-8"?>
<int2:intelligence xmlns:int2="http://schemas.microsoft.com/office/intelligence/2020/intelligence" xmlns:oel="http://schemas.microsoft.com/office/2019/extlst">
  <int2:observations>
    <int2:textHash int2:hashCode="Nj+DQuL0PseHQ+" int2:id="b1pvnGBL">
      <int2:state int2:value="Rejected" int2:type="AugLoop_Text_Critique"/>
    </int2:textHash>
    <int2:textHash int2:hashCode="AlXq8z1WJhmkNk" int2:id="fwrLM2Sa">
      <int2:state int2:value="Rejected" int2:type="AugLoop_Text_Critique"/>
    </int2:textHash>
    <int2:textHash int2:hashCode="ZfOSb5oqyN3flU" int2:id="weAl8q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18C"/>
    <w:multiLevelType w:val="hybridMultilevel"/>
    <w:tmpl w:val="68BA1F56"/>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61727"/>
    <w:multiLevelType w:val="hybridMultilevel"/>
    <w:tmpl w:val="41F6FB64"/>
    <w:lvl w:ilvl="0" w:tplc="9E828442">
      <w:start w:val="4"/>
      <w:numFmt w:val="bullet"/>
      <w:lvlText w:val=""/>
      <w:lvlJc w:val="left"/>
      <w:pPr>
        <w:ind w:left="720" w:hanging="360"/>
      </w:pPr>
      <w:rPr>
        <w:rFonts w:ascii="Symbol" w:eastAsiaTheme="minorHAnsi" w:hAnsi="Symbol" w:cstheme="min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7935"/>
    <w:multiLevelType w:val="hybridMultilevel"/>
    <w:tmpl w:val="EC3408C2"/>
    <w:lvl w:ilvl="0" w:tplc="C40214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4D88C"/>
    <w:multiLevelType w:val="hybridMultilevel"/>
    <w:tmpl w:val="3DE29A42"/>
    <w:lvl w:ilvl="0" w:tplc="7A103F1C">
      <w:start w:val="1"/>
      <w:numFmt w:val="bullet"/>
      <w:lvlText w:val=""/>
      <w:lvlJc w:val="left"/>
      <w:pPr>
        <w:ind w:left="720" w:hanging="360"/>
      </w:pPr>
      <w:rPr>
        <w:rFonts w:ascii="Symbol" w:hAnsi="Symbol" w:hint="default"/>
      </w:rPr>
    </w:lvl>
    <w:lvl w:ilvl="1" w:tplc="9F982F4C">
      <w:start w:val="1"/>
      <w:numFmt w:val="bullet"/>
      <w:lvlText w:val="o"/>
      <w:lvlJc w:val="left"/>
      <w:pPr>
        <w:ind w:left="1440" w:hanging="360"/>
      </w:pPr>
      <w:rPr>
        <w:rFonts w:ascii="Courier New" w:hAnsi="Courier New" w:hint="default"/>
      </w:rPr>
    </w:lvl>
    <w:lvl w:ilvl="2" w:tplc="FF16AB0E">
      <w:start w:val="1"/>
      <w:numFmt w:val="bullet"/>
      <w:lvlText w:val=""/>
      <w:lvlJc w:val="left"/>
      <w:pPr>
        <w:ind w:left="2160" w:hanging="360"/>
      </w:pPr>
      <w:rPr>
        <w:rFonts w:ascii="Wingdings" w:hAnsi="Wingdings" w:hint="default"/>
      </w:rPr>
    </w:lvl>
    <w:lvl w:ilvl="3" w:tplc="C1021B36">
      <w:start w:val="1"/>
      <w:numFmt w:val="bullet"/>
      <w:lvlText w:val=""/>
      <w:lvlJc w:val="left"/>
      <w:pPr>
        <w:ind w:left="2880" w:hanging="360"/>
      </w:pPr>
      <w:rPr>
        <w:rFonts w:ascii="Symbol" w:hAnsi="Symbol" w:hint="default"/>
      </w:rPr>
    </w:lvl>
    <w:lvl w:ilvl="4" w:tplc="47C0F6DA">
      <w:start w:val="1"/>
      <w:numFmt w:val="bullet"/>
      <w:lvlText w:val="o"/>
      <w:lvlJc w:val="left"/>
      <w:pPr>
        <w:ind w:left="3600" w:hanging="360"/>
      </w:pPr>
      <w:rPr>
        <w:rFonts w:ascii="Courier New" w:hAnsi="Courier New" w:hint="default"/>
      </w:rPr>
    </w:lvl>
    <w:lvl w:ilvl="5" w:tplc="B26E9FC4">
      <w:start w:val="1"/>
      <w:numFmt w:val="bullet"/>
      <w:lvlText w:val=""/>
      <w:lvlJc w:val="left"/>
      <w:pPr>
        <w:ind w:left="4320" w:hanging="360"/>
      </w:pPr>
      <w:rPr>
        <w:rFonts w:ascii="Wingdings" w:hAnsi="Wingdings" w:hint="default"/>
      </w:rPr>
    </w:lvl>
    <w:lvl w:ilvl="6" w:tplc="D2D2625C">
      <w:start w:val="1"/>
      <w:numFmt w:val="bullet"/>
      <w:lvlText w:val=""/>
      <w:lvlJc w:val="left"/>
      <w:pPr>
        <w:ind w:left="5040" w:hanging="360"/>
      </w:pPr>
      <w:rPr>
        <w:rFonts w:ascii="Symbol" w:hAnsi="Symbol" w:hint="default"/>
      </w:rPr>
    </w:lvl>
    <w:lvl w:ilvl="7" w:tplc="D68A1C32">
      <w:start w:val="1"/>
      <w:numFmt w:val="bullet"/>
      <w:lvlText w:val="o"/>
      <w:lvlJc w:val="left"/>
      <w:pPr>
        <w:ind w:left="5760" w:hanging="360"/>
      </w:pPr>
      <w:rPr>
        <w:rFonts w:ascii="Courier New" w:hAnsi="Courier New" w:hint="default"/>
      </w:rPr>
    </w:lvl>
    <w:lvl w:ilvl="8" w:tplc="F134EB84">
      <w:start w:val="1"/>
      <w:numFmt w:val="bullet"/>
      <w:lvlText w:val=""/>
      <w:lvlJc w:val="left"/>
      <w:pPr>
        <w:ind w:left="6480" w:hanging="360"/>
      </w:pPr>
      <w:rPr>
        <w:rFonts w:ascii="Wingdings" w:hAnsi="Wingdings" w:hint="default"/>
      </w:rPr>
    </w:lvl>
  </w:abstractNum>
  <w:abstractNum w:abstractNumId="4" w15:restartNumberingAfterBreak="0">
    <w:nsid w:val="0F347303"/>
    <w:multiLevelType w:val="hybridMultilevel"/>
    <w:tmpl w:val="10EEFF78"/>
    <w:lvl w:ilvl="0" w:tplc="54B8944C">
      <w:start w:val="1"/>
      <w:numFmt w:val="bullet"/>
      <w:lvlText w:val=""/>
      <w:lvlJc w:val="left"/>
      <w:pPr>
        <w:ind w:left="720" w:hanging="360"/>
      </w:pPr>
      <w:rPr>
        <w:rFonts w:ascii="Symbol" w:hAnsi="Symbol" w:hint="default"/>
      </w:rPr>
    </w:lvl>
    <w:lvl w:ilvl="1" w:tplc="D0968E56">
      <w:start w:val="1"/>
      <w:numFmt w:val="bullet"/>
      <w:lvlText w:val="o"/>
      <w:lvlJc w:val="left"/>
      <w:pPr>
        <w:ind w:left="1440" w:hanging="360"/>
      </w:pPr>
      <w:rPr>
        <w:rFonts w:ascii="Courier New" w:hAnsi="Courier New" w:hint="default"/>
      </w:rPr>
    </w:lvl>
    <w:lvl w:ilvl="2" w:tplc="F882564C">
      <w:start w:val="1"/>
      <w:numFmt w:val="bullet"/>
      <w:lvlText w:val=""/>
      <w:lvlJc w:val="left"/>
      <w:pPr>
        <w:ind w:left="2160" w:hanging="360"/>
      </w:pPr>
      <w:rPr>
        <w:rFonts w:ascii="Wingdings" w:hAnsi="Wingdings" w:hint="default"/>
      </w:rPr>
    </w:lvl>
    <w:lvl w:ilvl="3" w:tplc="F42247EE">
      <w:start w:val="1"/>
      <w:numFmt w:val="bullet"/>
      <w:lvlText w:val=""/>
      <w:lvlJc w:val="left"/>
      <w:pPr>
        <w:ind w:left="2880" w:hanging="360"/>
      </w:pPr>
      <w:rPr>
        <w:rFonts w:ascii="Symbol" w:hAnsi="Symbol" w:hint="default"/>
      </w:rPr>
    </w:lvl>
    <w:lvl w:ilvl="4" w:tplc="F9BA19C4">
      <w:start w:val="1"/>
      <w:numFmt w:val="bullet"/>
      <w:lvlText w:val="o"/>
      <w:lvlJc w:val="left"/>
      <w:pPr>
        <w:ind w:left="3600" w:hanging="360"/>
      </w:pPr>
      <w:rPr>
        <w:rFonts w:ascii="Courier New" w:hAnsi="Courier New" w:hint="default"/>
      </w:rPr>
    </w:lvl>
    <w:lvl w:ilvl="5" w:tplc="E87ED3A6">
      <w:start w:val="1"/>
      <w:numFmt w:val="bullet"/>
      <w:lvlText w:val=""/>
      <w:lvlJc w:val="left"/>
      <w:pPr>
        <w:ind w:left="4320" w:hanging="360"/>
      </w:pPr>
      <w:rPr>
        <w:rFonts w:ascii="Wingdings" w:hAnsi="Wingdings" w:hint="default"/>
      </w:rPr>
    </w:lvl>
    <w:lvl w:ilvl="6" w:tplc="370E6ECC">
      <w:start w:val="1"/>
      <w:numFmt w:val="bullet"/>
      <w:lvlText w:val=""/>
      <w:lvlJc w:val="left"/>
      <w:pPr>
        <w:ind w:left="5040" w:hanging="360"/>
      </w:pPr>
      <w:rPr>
        <w:rFonts w:ascii="Symbol" w:hAnsi="Symbol" w:hint="default"/>
      </w:rPr>
    </w:lvl>
    <w:lvl w:ilvl="7" w:tplc="232E1AE0">
      <w:start w:val="1"/>
      <w:numFmt w:val="bullet"/>
      <w:lvlText w:val="o"/>
      <w:lvlJc w:val="left"/>
      <w:pPr>
        <w:ind w:left="5760" w:hanging="360"/>
      </w:pPr>
      <w:rPr>
        <w:rFonts w:ascii="Courier New" w:hAnsi="Courier New" w:hint="default"/>
      </w:rPr>
    </w:lvl>
    <w:lvl w:ilvl="8" w:tplc="82CC41E6">
      <w:start w:val="1"/>
      <w:numFmt w:val="bullet"/>
      <w:lvlText w:val=""/>
      <w:lvlJc w:val="left"/>
      <w:pPr>
        <w:ind w:left="6480" w:hanging="360"/>
      </w:pPr>
      <w:rPr>
        <w:rFonts w:ascii="Wingdings" w:hAnsi="Wingdings" w:hint="default"/>
      </w:rPr>
    </w:lvl>
  </w:abstractNum>
  <w:abstractNum w:abstractNumId="5" w15:restartNumberingAfterBreak="0">
    <w:nsid w:val="14AB0738"/>
    <w:multiLevelType w:val="multilevel"/>
    <w:tmpl w:val="5964A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F03F1"/>
    <w:multiLevelType w:val="hybridMultilevel"/>
    <w:tmpl w:val="DD8A9B1A"/>
    <w:lvl w:ilvl="0" w:tplc="E14A6B66">
      <w:start w:val="1"/>
      <w:numFmt w:val="bullet"/>
      <w:lvlText w:val=""/>
      <w:lvlJc w:val="left"/>
      <w:pPr>
        <w:ind w:left="720" w:hanging="360"/>
      </w:pPr>
      <w:rPr>
        <w:rFonts w:ascii="Symbol" w:hAnsi="Symbol" w:hint="default"/>
      </w:rPr>
    </w:lvl>
    <w:lvl w:ilvl="1" w:tplc="85F0EA4A">
      <w:start w:val="1"/>
      <w:numFmt w:val="bullet"/>
      <w:lvlText w:val="o"/>
      <w:lvlJc w:val="left"/>
      <w:pPr>
        <w:ind w:left="1440" w:hanging="360"/>
      </w:pPr>
      <w:rPr>
        <w:rFonts w:ascii="Courier New" w:hAnsi="Courier New" w:hint="default"/>
      </w:rPr>
    </w:lvl>
    <w:lvl w:ilvl="2" w:tplc="BB8A50C8">
      <w:start w:val="1"/>
      <w:numFmt w:val="bullet"/>
      <w:lvlText w:val=""/>
      <w:lvlJc w:val="left"/>
      <w:pPr>
        <w:ind w:left="2160" w:hanging="360"/>
      </w:pPr>
      <w:rPr>
        <w:rFonts w:ascii="Wingdings" w:hAnsi="Wingdings" w:hint="default"/>
      </w:rPr>
    </w:lvl>
    <w:lvl w:ilvl="3" w:tplc="7EBC5C7A">
      <w:start w:val="1"/>
      <w:numFmt w:val="bullet"/>
      <w:lvlText w:val=""/>
      <w:lvlJc w:val="left"/>
      <w:pPr>
        <w:ind w:left="2880" w:hanging="360"/>
      </w:pPr>
      <w:rPr>
        <w:rFonts w:ascii="Symbol" w:hAnsi="Symbol" w:hint="default"/>
      </w:rPr>
    </w:lvl>
    <w:lvl w:ilvl="4" w:tplc="41EC89CC">
      <w:start w:val="1"/>
      <w:numFmt w:val="bullet"/>
      <w:lvlText w:val="o"/>
      <w:lvlJc w:val="left"/>
      <w:pPr>
        <w:ind w:left="3600" w:hanging="360"/>
      </w:pPr>
      <w:rPr>
        <w:rFonts w:ascii="Courier New" w:hAnsi="Courier New" w:hint="default"/>
      </w:rPr>
    </w:lvl>
    <w:lvl w:ilvl="5" w:tplc="E0C0D4AA">
      <w:start w:val="1"/>
      <w:numFmt w:val="bullet"/>
      <w:lvlText w:val=""/>
      <w:lvlJc w:val="left"/>
      <w:pPr>
        <w:ind w:left="4320" w:hanging="360"/>
      </w:pPr>
      <w:rPr>
        <w:rFonts w:ascii="Wingdings" w:hAnsi="Wingdings" w:hint="default"/>
      </w:rPr>
    </w:lvl>
    <w:lvl w:ilvl="6" w:tplc="10166508">
      <w:start w:val="1"/>
      <w:numFmt w:val="bullet"/>
      <w:lvlText w:val=""/>
      <w:lvlJc w:val="left"/>
      <w:pPr>
        <w:ind w:left="5040" w:hanging="360"/>
      </w:pPr>
      <w:rPr>
        <w:rFonts w:ascii="Symbol" w:hAnsi="Symbol" w:hint="default"/>
      </w:rPr>
    </w:lvl>
    <w:lvl w:ilvl="7" w:tplc="584E2CFA">
      <w:start w:val="1"/>
      <w:numFmt w:val="bullet"/>
      <w:lvlText w:val="o"/>
      <w:lvlJc w:val="left"/>
      <w:pPr>
        <w:ind w:left="5760" w:hanging="360"/>
      </w:pPr>
      <w:rPr>
        <w:rFonts w:ascii="Courier New" w:hAnsi="Courier New" w:hint="default"/>
      </w:rPr>
    </w:lvl>
    <w:lvl w:ilvl="8" w:tplc="CFFEFA18">
      <w:start w:val="1"/>
      <w:numFmt w:val="bullet"/>
      <w:lvlText w:val=""/>
      <w:lvlJc w:val="left"/>
      <w:pPr>
        <w:ind w:left="6480" w:hanging="360"/>
      </w:pPr>
      <w:rPr>
        <w:rFonts w:ascii="Wingdings" w:hAnsi="Wingdings" w:hint="default"/>
      </w:rPr>
    </w:lvl>
  </w:abstractNum>
  <w:abstractNum w:abstractNumId="7" w15:restartNumberingAfterBreak="0">
    <w:nsid w:val="22AC5F38"/>
    <w:multiLevelType w:val="hybridMultilevel"/>
    <w:tmpl w:val="60F40C30"/>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7BA49"/>
    <w:multiLevelType w:val="hybridMultilevel"/>
    <w:tmpl w:val="2258DD4C"/>
    <w:lvl w:ilvl="0" w:tplc="69A4454A">
      <w:start w:val="1"/>
      <w:numFmt w:val="decimal"/>
      <w:lvlText w:val="%1."/>
      <w:lvlJc w:val="left"/>
      <w:pPr>
        <w:ind w:left="720" w:hanging="360"/>
      </w:pPr>
    </w:lvl>
    <w:lvl w:ilvl="1" w:tplc="B448C704">
      <w:start w:val="1"/>
      <w:numFmt w:val="lowerLetter"/>
      <w:lvlText w:val="%2."/>
      <w:lvlJc w:val="left"/>
      <w:pPr>
        <w:ind w:left="1440" w:hanging="360"/>
      </w:pPr>
    </w:lvl>
    <w:lvl w:ilvl="2" w:tplc="9AD0AD7A">
      <w:start w:val="1"/>
      <w:numFmt w:val="lowerRoman"/>
      <w:lvlText w:val="%3."/>
      <w:lvlJc w:val="right"/>
      <w:pPr>
        <w:ind w:left="2160" w:hanging="180"/>
      </w:pPr>
    </w:lvl>
    <w:lvl w:ilvl="3" w:tplc="BB54FAC4">
      <w:start w:val="1"/>
      <w:numFmt w:val="decimal"/>
      <w:lvlText w:val="%4."/>
      <w:lvlJc w:val="left"/>
      <w:pPr>
        <w:ind w:left="2880" w:hanging="360"/>
      </w:pPr>
    </w:lvl>
    <w:lvl w:ilvl="4" w:tplc="CA32830C">
      <w:start w:val="1"/>
      <w:numFmt w:val="lowerLetter"/>
      <w:lvlText w:val="%5."/>
      <w:lvlJc w:val="left"/>
      <w:pPr>
        <w:ind w:left="3600" w:hanging="360"/>
      </w:pPr>
    </w:lvl>
    <w:lvl w:ilvl="5" w:tplc="04406402">
      <w:start w:val="1"/>
      <w:numFmt w:val="lowerRoman"/>
      <w:lvlText w:val="%6."/>
      <w:lvlJc w:val="right"/>
      <w:pPr>
        <w:ind w:left="4320" w:hanging="180"/>
      </w:pPr>
    </w:lvl>
    <w:lvl w:ilvl="6" w:tplc="165E6A56">
      <w:start w:val="1"/>
      <w:numFmt w:val="decimal"/>
      <w:lvlText w:val="%7."/>
      <w:lvlJc w:val="left"/>
      <w:pPr>
        <w:ind w:left="5040" w:hanging="360"/>
      </w:pPr>
    </w:lvl>
    <w:lvl w:ilvl="7" w:tplc="DB783DEE">
      <w:start w:val="1"/>
      <w:numFmt w:val="lowerLetter"/>
      <w:lvlText w:val="%8."/>
      <w:lvlJc w:val="left"/>
      <w:pPr>
        <w:ind w:left="5760" w:hanging="360"/>
      </w:pPr>
    </w:lvl>
    <w:lvl w:ilvl="8" w:tplc="5C1C1B50">
      <w:start w:val="1"/>
      <w:numFmt w:val="lowerRoman"/>
      <w:lvlText w:val="%9."/>
      <w:lvlJc w:val="right"/>
      <w:pPr>
        <w:ind w:left="6480" w:hanging="180"/>
      </w:pPr>
    </w:lvl>
  </w:abstractNum>
  <w:abstractNum w:abstractNumId="9" w15:restartNumberingAfterBreak="0">
    <w:nsid w:val="33A04011"/>
    <w:multiLevelType w:val="hybridMultilevel"/>
    <w:tmpl w:val="D9309F1C"/>
    <w:lvl w:ilvl="0" w:tplc="89342550">
      <w:start w:val="1"/>
      <w:numFmt w:val="bullet"/>
      <w:lvlText w:val=""/>
      <w:lvlJc w:val="left"/>
      <w:pPr>
        <w:ind w:left="720" w:hanging="360"/>
      </w:pPr>
      <w:rPr>
        <w:rFonts w:ascii="Symbol" w:hAnsi="Symbol" w:hint="default"/>
      </w:rPr>
    </w:lvl>
    <w:lvl w:ilvl="1" w:tplc="BD3C4102">
      <w:start w:val="1"/>
      <w:numFmt w:val="bullet"/>
      <w:lvlText w:val="o"/>
      <w:lvlJc w:val="left"/>
      <w:pPr>
        <w:ind w:left="1440" w:hanging="360"/>
      </w:pPr>
      <w:rPr>
        <w:rFonts w:ascii="Courier New" w:hAnsi="Courier New" w:hint="default"/>
      </w:rPr>
    </w:lvl>
    <w:lvl w:ilvl="2" w:tplc="643E24C8">
      <w:start w:val="1"/>
      <w:numFmt w:val="bullet"/>
      <w:lvlText w:val=""/>
      <w:lvlJc w:val="left"/>
      <w:pPr>
        <w:ind w:left="2160" w:hanging="360"/>
      </w:pPr>
      <w:rPr>
        <w:rFonts w:ascii="Wingdings" w:hAnsi="Wingdings" w:hint="default"/>
      </w:rPr>
    </w:lvl>
    <w:lvl w:ilvl="3" w:tplc="575E38BE">
      <w:start w:val="1"/>
      <w:numFmt w:val="bullet"/>
      <w:lvlText w:val=""/>
      <w:lvlJc w:val="left"/>
      <w:pPr>
        <w:ind w:left="2880" w:hanging="360"/>
      </w:pPr>
      <w:rPr>
        <w:rFonts w:ascii="Symbol" w:hAnsi="Symbol" w:hint="default"/>
      </w:rPr>
    </w:lvl>
    <w:lvl w:ilvl="4" w:tplc="22488222">
      <w:start w:val="1"/>
      <w:numFmt w:val="bullet"/>
      <w:lvlText w:val="o"/>
      <w:lvlJc w:val="left"/>
      <w:pPr>
        <w:ind w:left="3600" w:hanging="360"/>
      </w:pPr>
      <w:rPr>
        <w:rFonts w:ascii="Courier New" w:hAnsi="Courier New" w:hint="default"/>
      </w:rPr>
    </w:lvl>
    <w:lvl w:ilvl="5" w:tplc="BAC8171A">
      <w:start w:val="1"/>
      <w:numFmt w:val="bullet"/>
      <w:lvlText w:val=""/>
      <w:lvlJc w:val="left"/>
      <w:pPr>
        <w:ind w:left="4320" w:hanging="360"/>
      </w:pPr>
      <w:rPr>
        <w:rFonts w:ascii="Wingdings" w:hAnsi="Wingdings" w:hint="default"/>
      </w:rPr>
    </w:lvl>
    <w:lvl w:ilvl="6" w:tplc="C7C2DD46">
      <w:start w:val="1"/>
      <w:numFmt w:val="bullet"/>
      <w:lvlText w:val=""/>
      <w:lvlJc w:val="left"/>
      <w:pPr>
        <w:ind w:left="5040" w:hanging="360"/>
      </w:pPr>
      <w:rPr>
        <w:rFonts w:ascii="Symbol" w:hAnsi="Symbol" w:hint="default"/>
      </w:rPr>
    </w:lvl>
    <w:lvl w:ilvl="7" w:tplc="5B2C1A14">
      <w:start w:val="1"/>
      <w:numFmt w:val="bullet"/>
      <w:lvlText w:val="o"/>
      <w:lvlJc w:val="left"/>
      <w:pPr>
        <w:ind w:left="5760" w:hanging="360"/>
      </w:pPr>
      <w:rPr>
        <w:rFonts w:ascii="Courier New" w:hAnsi="Courier New" w:hint="default"/>
      </w:rPr>
    </w:lvl>
    <w:lvl w:ilvl="8" w:tplc="BD226CA6">
      <w:start w:val="1"/>
      <w:numFmt w:val="bullet"/>
      <w:lvlText w:val=""/>
      <w:lvlJc w:val="left"/>
      <w:pPr>
        <w:ind w:left="6480" w:hanging="360"/>
      </w:pPr>
      <w:rPr>
        <w:rFonts w:ascii="Wingdings" w:hAnsi="Wingdings" w:hint="default"/>
      </w:rPr>
    </w:lvl>
  </w:abstractNum>
  <w:abstractNum w:abstractNumId="10" w15:restartNumberingAfterBreak="0">
    <w:nsid w:val="36C27FB9"/>
    <w:multiLevelType w:val="hybridMultilevel"/>
    <w:tmpl w:val="D1A8CDC4"/>
    <w:lvl w:ilvl="0" w:tplc="DCDA33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67C29"/>
    <w:multiLevelType w:val="hybridMultilevel"/>
    <w:tmpl w:val="E1562EDC"/>
    <w:lvl w:ilvl="0" w:tplc="B9403F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BF27BE"/>
    <w:multiLevelType w:val="hybridMultilevel"/>
    <w:tmpl w:val="35F8ED48"/>
    <w:lvl w:ilvl="0" w:tplc="7A42DC42">
      <w:start w:val="1"/>
      <w:numFmt w:val="bullet"/>
      <w:lvlText w:val=""/>
      <w:lvlJc w:val="left"/>
      <w:pPr>
        <w:ind w:left="720" w:hanging="360"/>
      </w:pPr>
      <w:rPr>
        <w:rFonts w:ascii="Symbol" w:hAnsi="Symbol" w:hint="default"/>
      </w:rPr>
    </w:lvl>
    <w:lvl w:ilvl="1" w:tplc="66820298">
      <w:start w:val="1"/>
      <w:numFmt w:val="bullet"/>
      <w:lvlText w:val="o"/>
      <w:lvlJc w:val="left"/>
      <w:pPr>
        <w:ind w:left="1440" w:hanging="360"/>
      </w:pPr>
      <w:rPr>
        <w:rFonts w:ascii="Courier New" w:hAnsi="Courier New" w:hint="default"/>
      </w:rPr>
    </w:lvl>
    <w:lvl w:ilvl="2" w:tplc="F202B776">
      <w:start w:val="1"/>
      <w:numFmt w:val="bullet"/>
      <w:lvlText w:val=""/>
      <w:lvlJc w:val="left"/>
      <w:pPr>
        <w:ind w:left="2160" w:hanging="360"/>
      </w:pPr>
      <w:rPr>
        <w:rFonts w:ascii="Wingdings" w:hAnsi="Wingdings" w:hint="default"/>
      </w:rPr>
    </w:lvl>
    <w:lvl w:ilvl="3" w:tplc="C9FE9EFC">
      <w:start w:val="1"/>
      <w:numFmt w:val="bullet"/>
      <w:lvlText w:val=""/>
      <w:lvlJc w:val="left"/>
      <w:pPr>
        <w:ind w:left="2880" w:hanging="360"/>
      </w:pPr>
      <w:rPr>
        <w:rFonts w:ascii="Symbol" w:hAnsi="Symbol" w:hint="default"/>
      </w:rPr>
    </w:lvl>
    <w:lvl w:ilvl="4" w:tplc="9926BD88">
      <w:start w:val="1"/>
      <w:numFmt w:val="bullet"/>
      <w:lvlText w:val="o"/>
      <w:lvlJc w:val="left"/>
      <w:pPr>
        <w:ind w:left="3600" w:hanging="360"/>
      </w:pPr>
      <w:rPr>
        <w:rFonts w:ascii="Courier New" w:hAnsi="Courier New" w:hint="default"/>
      </w:rPr>
    </w:lvl>
    <w:lvl w:ilvl="5" w:tplc="93A0F21C">
      <w:start w:val="1"/>
      <w:numFmt w:val="bullet"/>
      <w:lvlText w:val=""/>
      <w:lvlJc w:val="left"/>
      <w:pPr>
        <w:ind w:left="4320" w:hanging="360"/>
      </w:pPr>
      <w:rPr>
        <w:rFonts w:ascii="Wingdings" w:hAnsi="Wingdings" w:hint="default"/>
      </w:rPr>
    </w:lvl>
    <w:lvl w:ilvl="6" w:tplc="D50020B2">
      <w:start w:val="1"/>
      <w:numFmt w:val="bullet"/>
      <w:lvlText w:val=""/>
      <w:lvlJc w:val="left"/>
      <w:pPr>
        <w:ind w:left="5040" w:hanging="360"/>
      </w:pPr>
      <w:rPr>
        <w:rFonts w:ascii="Symbol" w:hAnsi="Symbol" w:hint="default"/>
      </w:rPr>
    </w:lvl>
    <w:lvl w:ilvl="7" w:tplc="91341260">
      <w:start w:val="1"/>
      <w:numFmt w:val="bullet"/>
      <w:lvlText w:val="o"/>
      <w:lvlJc w:val="left"/>
      <w:pPr>
        <w:ind w:left="5760" w:hanging="360"/>
      </w:pPr>
      <w:rPr>
        <w:rFonts w:ascii="Courier New" w:hAnsi="Courier New" w:hint="default"/>
      </w:rPr>
    </w:lvl>
    <w:lvl w:ilvl="8" w:tplc="50428C4C">
      <w:start w:val="1"/>
      <w:numFmt w:val="bullet"/>
      <w:lvlText w:val=""/>
      <w:lvlJc w:val="left"/>
      <w:pPr>
        <w:ind w:left="6480" w:hanging="360"/>
      </w:pPr>
      <w:rPr>
        <w:rFonts w:ascii="Wingdings" w:hAnsi="Wingdings" w:hint="default"/>
      </w:rPr>
    </w:lvl>
  </w:abstractNum>
  <w:abstractNum w:abstractNumId="13" w15:restartNumberingAfterBreak="0">
    <w:nsid w:val="47D2791B"/>
    <w:multiLevelType w:val="hybridMultilevel"/>
    <w:tmpl w:val="80C80648"/>
    <w:lvl w:ilvl="0" w:tplc="4B56AC5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CC5B76"/>
    <w:multiLevelType w:val="multilevel"/>
    <w:tmpl w:val="08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5" w15:restartNumberingAfterBreak="0">
    <w:nsid w:val="515F9FDA"/>
    <w:multiLevelType w:val="hybridMultilevel"/>
    <w:tmpl w:val="FFFFFFFF"/>
    <w:lvl w:ilvl="0" w:tplc="1F8A706A">
      <w:start w:val="1"/>
      <w:numFmt w:val="decimal"/>
      <w:lvlText w:val="%1."/>
      <w:lvlJc w:val="left"/>
      <w:pPr>
        <w:ind w:left="720" w:hanging="360"/>
      </w:pPr>
    </w:lvl>
    <w:lvl w:ilvl="1" w:tplc="0BA41214">
      <w:start w:val="1"/>
      <w:numFmt w:val="lowerLetter"/>
      <w:lvlText w:val="%2."/>
      <w:lvlJc w:val="left"/>
      <w:pPr>
        <w:ind w:left="1440" w:hanging="360"/>
      </w:pPr>
    </w:lvl>
    <w:lvl w:ilvl="2" w:tplc="FC7E17DA">
      <w:start w:val="1"/>
      <w:numFmt w:val="lowerRoman"/>
      <w:lvlText w:val="%3."/>
      <w:lvlJc w:val="right"/>
      <w:pPr>
        <w:ind w:left="2160" w:hanging="180"/>
      </w:pPr>
    </w:lvl>
    <w:lvl w:ilvl="3" w:tplc="5E2A037A">
      <w:start w:val="1"/>
      <w:numFmt w:val="decimal"/>
      <w:lvlText w:val="%4."/>
      <w:lvlJc w:val="left"/>
      <w:pPr>
        <w:ind w:left="2880" w:hanging="360"/>
      </w:pPr>
    </w:lvl>
    <w:lvl w:ilvl="4" w:tplc="C3843430">
      <w:start w:val="1"/>
      <w:numFmt w:val="lowerLetter"/>
      <w:lvlText w:val="%5."/>
      <w:lvlJc w:val="left"/>
      <w:pPr>
        <w:ind w:left="3600" w:hanging="360"/>
      </w:pPr>
    </w:lvl>
    <w:lvl w:ilvl="5" w:tplc="9FF4D536">
      <w:start w:val="1"/>
      <w:numFmt w:val="lowerRoman"/>
      <w:lvlText w:val="%6."/>
      <w:lvlJc w:val="right"/>
      <w:pPr>
        <w:ind w:left="4320" w:hanging="180"/>
      </w:pPr>
    </w:lvl>
    <w:lvl w:ilvl="6" w:tplc="F494754C">
      <w:start w:val="1"/>
      <w:numFmt w:val="decimal"/>
      <w:lvlText w:val="%7."/>
      <w:lvlJc w:val="left"/>
      <w:pPr>
        <w:ind w:left="5040" w:hanging="360"/>
      </w:pPr>
    </w:lvl>
    <w:lvl w:ilvl="7" w:tplc="881AEDDC">
      <w:start w:val="1"/>
      <w:numFmt w:val="lowerLetter"/>
      <w:lvlText w:val="%8."/>
      <w:lvlJc w:val="left"/>
      <w:pPr>
        <w:ind w:left="5760" w:hanging="360"/>
      </w:pPr>
    </w:lvl>
    <w:lvl w:ilvl="8" w:tplc="C09A4FC0">
      <w:start w:val="1"/>
      <w:numFmt w:val="lowerRoman"/>
      <w:lvlText w:val="%9."/>
      <w:lvlJc w:val="right"/>
      <w:pPr>
        <w:ind w:left="6480" w:hanging="180"/>
      </w:pPr>
    </w:lvl>
  </w:abstractNum>
  <w:abstractNum w:abstractNumId="16" w15:restartNumberingAfterBreak="0">
    <w:nsid w:val="549948D2"/>
    <w:multiLevelType w:val="hybridMultilevel"/>
    <w:tmpl w:val="1E420A1A"/>
    <w:lvl w:ilvl="0" w:tplc="67D4BAD6">
      <w:start w:val="4"/>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D62D7A"/>
    <w:multiLevelType w:val="hybridMultilevel"/>
    <w:tmpl w:val="CD38898A"/>
    <w:lvl w:ilvl="0" w:tplc="67D4BAD6">
      <w:start w:val="4"/>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31D65"/>
    <w:multiLevelType w:val="hybridMultilevel"/>
    <w:tmpl w:val="A26CAB7E"/>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9E2AF6"/>
    <w:multiLevelType w:val="hybridMultilevel"/>
    <w:tmpl w:val="A6CA3BB0"/>
    <w:lvl w:ilvl="0" w:tplc="3CE2F3EA">
      <w:start w:val="1"/>
      <w:numFmt w:val="bullet"/>
      <w:lvlText w:val=""/>
      <w:lvlJc w:val="left"/>
      <w:pPr>
        <w:ind w:left="720" w:hanging="360"/>
      </w:pPr>
      <w:rPr>
        <w:rFonts w:ascii="Symbol" w:hAnsi="Symbol" w:hint="default"/>
      </w:rPr>
    </w:lvl>
    <w:lvl w:ilvl="1" w:tplc="1E52AD6E">
      <w:start w:val="1"/>
      <w:numFmt w:val="bullet"/>
      <w:lvlText w:val="o"/>
      <w:lvlJc w:val="left"/>
      <w:pPr>
        <w:ind w:left="1440" w:hanging="360"/>
      </w:pPr>
      <w:rPr>
        <w:rFonts w:ascii="Courier New" w:hAnsi="Courier New" w:hint="default"/>
      </w:rPr>
    </w:lvl>
    <w:lvl w:ilvl="2" w:tplc="C32291CC">
      <w:start w:val="1"/>
      <w:numFmt w:val="bullet"/>
      <w:lvlText w:val=""/>
      <w:lvlJc w:val="left"/>
      <w:pPr>
        <w:ind w:left="2160" w:hanging="360"/>
      </w:pPr>
      <w:rPr>
        <w:rFonts w:ascii="Wingdings" w:hAnsi="Wingdings" w:hint="default"/>
      </w:rPr>
    </w:lvl>
    <w:lvl w:ilvl="3" w:tplc="DB68A496">
      <w:start w:val="1"/>
      <w:numFmt w:val="bullet"/>
      <w:lvlText w:val=""/>
      <w:lvlJc w:val="left"/>
      <w:pPr>
        <w:ind w:left="2880" w:hanging="360"/>
      </w:pPr>
      <w:rPr>
        <w:rFonts w:ascii="Symbol" w:hAnsi="Symbol" w:hint="default"/>
      </w:rPr>
    </w:lvl>
    <w:lvl w:ilvl="4" w:tplc="BE30D42E">
      <w:start w:val="1"/>
      <w:numFmt w:val="bullet"/>
      <w:lvlText w:val="o"/>
      <w:lvlJc w:val="left"/>
      <w:pPr>
        <w:ind w:left="3600" w:hanging="360"/>
      </w:pPr>
      <w:rPr>
        <w:rFonts w:ascii="Courier New" w:hAnsi="Courier New" w:hint="default"/>
      </w:rPr>
    </w:lvl>
    <w:lvl w:ilvl="5" w:tplc="64D6C4F8">
      <w:start w:val="1"/>
      <w:numFmt w:val="bullet"/>
      <w:lvlText w:val=""/>
      <w:lvlJc w:val="left"/>
      <w:pPr>
        <w:ind w:left="4320" w:hanging="360"/>
      </w:pPr>
      <w:rPr>
        <w:rFonts w:ascii="Wingdings" w:hAnsi="Wingdings" w:hint="default"/>
      </w:rPr>
    </w:lvl>
    <w:lvl w:ilvl="6" w:tplc="FB1E3342">
      <w:start w:val="1"/>
      <w:numFmt w:val="bullet"/>
      <w:lvlText w:val=""/>
      <w:lvlJc w:val="left"/>
      <w:pPr>
        <w:ind w:left="5040" w:hanging="360"/>
      </w:pPr>
      <w:rPr>
        <w:rFonts w:ascii="Symbol" w:hAnsi="Symbol" w:hint="default"/>
      </w:rPr>
    </w:lvl>
    <w:lvl w:ilvl="7" w:tplc="F2F8CA98">
      <w:start w:val="1"/>
      <w:numFmt w:val="bullet"/>
      <w:lvlText w:val="o"/>
      <w:lvlJc w:val="left"/>
      <w:pPr>
        <w:ind w:left="5760" w:hanging="360"/>
      </w:pPr>
      <w:rPr>
        <w:rFonts w:ascii="Courier New" w:hAnsi="Courier New" w:hint="default"/>
      </w:rPr>
    </w:lvl>
    <w:lvl w:ilvl="8" w:tplc="9FE0DB44">
      <w:start w:val="1"/>
      <w:numFmt w:val="bullet"/>
      <w:lvlText w:val=""/>
      <w:lvlJc w:val="left"/>
      <w:pPr>
        <w:ind w:left="6480" w:hanging="360"/>
      </w:pPr>
      <w:rPr>
        <w:rFonts w:ascii="Wingdings" w:hAnsi="Wingdings" w:hint="default"/>
      </w:rPr>
    </w:lvl>
  </w:abstractNum>
  <w:abstractNum w:abstractNumId="20" w15:restartNumberingAfterBreak="0">
    <w:nsid w:val="61755B17"/>
    <w:multiLevelType w:val="hybridMultilevel"/>
    <w:tmpl w:val="FFFFFFFF"/>
    <w:lvl w:ilvl="0" w:tplc="AFA4DB2E">
      <w:start w:val="1"/>
      <w:numFmt w:val="decimal"/>
      <w:lvlText w:val="%1."/>
      <w:lvlJc w:val="left"/>
      <w:pPr>
        <w:ind w:left="720" w:hanging="360"/>
      </w:pPr>
    </w:lvl>
    <w:lvl w:ilvl="1" w:tplc="2C80B580">
      <w:start w:val="1"/>
      <w:numFmt w:val="lowerLetter"/>
      <w:lvlText w:val="%2."/>
      <w:lvlJc w:val="left"/>
      <w:pPr>
        <w:ind w:left="1440" w:hanging="360"/>
      </w:pPr>
    </w:lvl>
    <w:lvl w:ilvl="2" w:tplc="A2841E00">
      <w:start w:val="1"/>
      <w:numFmt w:val="lowerRoman"/>
      <w:lvlText w:val="%3."/>
      <w:lvlJc w:val="right"/>
      <w:pPr>
        <w:ind w:left="2160" w:hanging="180"/>
      </w:pPr>
    </w:lvl>
    <w:lvl w:ilvl="3" w:tplc="2D626FA6">
      <w:start w:val="1"/>
      <w:numFmt w:val="decimal"/>
      <w:lvlText w:val="%4."/>
      <w:lvlJc w:val="left"/>
      <w:pPr>
        <w:ind w:left="2880" w:hanging="360"/>
      </w:pPr>
    </w:lvl>
    <w:lvl w:ilvl="4" w:tplc="8E9EE60C">
      <w:start w:val="1"/>
      <w:numFmt w:val="lowerLetter"/>
      <w:lvlText w:val="%5."/>
      <w:lvlJc w:val="left"/>
      <w:pPr>
        <w:ind w:left="3600" w:hanging="360"/>
      </w:pPr>
    </w:lvl>
    <w:lvl w:ilvl="5" w:tplc="20B626E0">
      <w:start w:val="1"/>
      <w:numFmt w:val="lowerRoman"/>
      <w:lvlText w:val="%6."/>
      <w:lvlJc w:val="right"/>
      <w:pPr>
        <w:ind w:left="4320" w:hanging="180"/>
      </w:pPr>
    </w:lvl>
    <w:lvl w:ilvl="6" w:tplc="DFEE3E1C">
      <w:start w:val="1"/>
      <w:numFmt w:val="decimal"/>
      <w:lvlText w:val="%7."/>
      <w:lvlJc w:val="left"/>
      <w:pPr>
        <w:ind w:left="5040" w:hanging="360"/>
      </w:pPr>
    </w:lvl>
    <w:lvl w:ilvl="7" w:tplc="385803F8">
      <w:start w:val="1"/>
      <w:numFmt w:val="lowerLetter"/>
      <w:lvlText w:val="%8."/>
      <w:lvlJc w:val="left"/>
      <w:pPr>
        <w:ind w:left="5760" w:hanging="360"/>
      </w:pPr>
    </w:lvl>
    <w:lvl w:ilvl="8" w:tplc="A76ECA32">
      <w:start w:val="1"/>
      <w:numFmt w:val="lowerRoman"/>
      <w:lvlText w:val="%9."/>
      <w:lvlJc w:val="right"/>
      <w:pPr>
        <w:ind w:left="6480" w:hanging="180"/>
      </w:pPr>
    </w:lvl>
  </w:abstractNum>
  <w:abstractNum w:abstractNumId="21" w15:restartNumberingAfterBreak="0">
    <w:nsid w:val="63B44377"/>
    <w:multiLevelType w:val="hybridMultilevel"/>
    <w:tmpl w:val="7A50CFE8"/>
    <w:lvl w:ilvl="0" w:tplc="502C1E16">
      <w:numFmt w:val="bullet"/>
      <w:lvlText w:val=""/>
      <w:lvlJc w:val="left"/>
      <w:pPr>
        <w:ind w:left="1068" w:hanging="360"/>
      </w:pPr>
      <w:rPr>
        <w:rFonts w:ascii="Symbol" w:eastAsiaTheme="minorHAnsi" w:hAnsi="Symbol" w:cstheme="minorBidi" w:hint="default"/>
        <w:b/>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2" w15:restartNumberingAfterBreak="0">
    <w:nsid w:val="689144B8"/>
    <w:multiLevelType w:val="hybridMultilevel"/>
    <w:tmpl w:val="41409446"/>
    <w:lvl w:ilvl="0" w:tplc="2C1813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618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B70D56"/>
    <w:multiLevelType w:val="hybridMultilevel"/>
    <w:tmpl w:val="83109A76"/>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31BA6"/>
    <w:multiLevelType w:val="hybridMultilevel"/>
    <w:tmpl w:val="D19E4FA6"/>
    <w:lvl w:ilvl="0" w:tplc="80CC99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7A2CAA"/>
    <w:multiLevelType w:val="hybridMultilevel"/>
    <w:tmpl w:val="99F82654"/>
    <w:lvl w:ilvl="0" w:tplc="0330AB7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98AF53"/>
    <w:multiLevelType w:val="hybridMultilevel"/>
    <w:tmpl w:val="F236C8E2"/>
    <w:lvl w:ilvl="0" w:tplc="2110EF3C">
      <w:start w:val="1"/>
      <w:numFmt w:val="bullet"/>
      <w:lvlText w:val=""/>
      <w:lvlJc w:val="left"/>
      <w:pPr>
        <w:ind w:left="720" w:hanging="360"/>
      </w:pPr>
      <w:rPr>
        <w:rFonts w:ascii="Symbol" w:hAnsi="Symbol" w:hint="default"/>
      </w:rPr>
    </w:lvl>
    <w:lvl w:ilvl="1" w:tplc="5918664C">
      <w:start w:val="1"/>
      <w:numFmt w:val="bullet"/>
      <w:lvlText w:val="o"/>
      <w:lvlJc w:val="left"/>
      <w:pPr>
        <w:ind w:left="1440" w:hanging="360"/>
      </w:pPr>
      <w:rPr>
        <w:rFonts w:ascii="Courier New" w:hAnsi="Courier New" w:hint="default"/>
      </w:rPr>
    </w:lvl>
    <w:lvl w:ilvl="2" w:tplc="DB2E06B4">
      <w:start w:val="1"/>
      <w:numFmt w:val="bullet"/>
      <w:lvlText w:val=""/>
      <w:lvlJc w:val="left"/>
      <w:pPr>
        <w:ind w:left="2160" w:hanging="360"/>
      </w:pPr>
      <w:rPr>
        <w:rFonts w:ascii="Wingdings" w:hAnsi="Wingdings" w:hint="default"/>
      </w:rPr>
    </w:lvl>
    <w:lvl w:ilvl="3" w:tplc="87006EC0">
      <w:start w:val="1"/>
      <w:numFmt w:val="bullet"/>
      <w:lvlText w:val=""/>
      <w:lvlJc w:val="left"/>
      <w:pPr>
        <w:ind w:left="2880" w:hanging="360"/>
      </w:pPr>
      <w:rPr>
        <w:rFonts w:ascii="Symbol" w:hAnsi="Symbol" w:hint="default"/>
      </w:rPr>
    </w:lvl>
    <w:lvl w:ilvl="4" w:tplc="34D05824">
      <w:start w:val="1"/>
      <w:numFmt w:val="bullet"/>
      <w:lvlText w:val="o"/>
      <w:lvlJc w:val="left"/>
      <w:pPr>
        <w:ind w:left="3600" w:hanging="360"/>
      </w:pPr>
      <w:rPr>
        <w:rFonts w:ascii="Courier New" w:hAnsi="Courier New" w:hint="default"/>
      </w:rPr>
    </w:lvl>
    <w:lvl w:ilvl="5" w:tplc="DB640548">
      <w:start w:val="1"/>
      <w:numFmt w:val="bullet"/>
      <w:lvlText w:val=""/>
      <w:lvlJc w:val="left"/>
      <w:pPr>
        <w:ind w:left="4320" w:hanging="360"/>
      </w:pPr>
      <w:rPr>
        <w:rFonts w:ascii="Wingdings" w:hAnsi="Wingdings" w:hint="default"/>
      </w:rPr>
    </w:lvl>
    <w:lvl w:ilvl="6" w:tplc="07DCF1D8">
      <w:start w:val="1"/>
      <w:numFmt w:val="bullet"/>
      <w:lvlText w:val=""/>
      <w:lvlJc w:val="left"/>
      <w:pPr>
        <w:ind w:left="5040" w:hanging="360"/>
      </w:pPr>
      <w:rPr>
        <w:rFonts w:ascii="Symbol" w:hAnsi="Symbol" w:hint="default"/>
      </w:rPr>
    </w:lvl>
    <w:lvl w:ilvl="7" w:tplc="AFBEB28C">
      <w:start w:val="1"/>
      <w:numFmt w:val="bullet"/>
      <w:lvlText w:val="o"/>
      <w:lvlJc w:val="left"/>
      <w:pPr>
        <w:ind w:left="5760" w:hanging="360"/>
      </w:pPr>
      <w:rPr>
        <w:rFonts w:ascii="Courier New" w:hAnsi="Courier New" w:hint="default"/>
      </w:rPr>
    </w:lvl>
    <w:lvl w:ilvl="8" w:tplc="22DC9548">
      <w:start w:val="1"/>
      <w:numFmt w:val="bullet"/>
      <w:lvlText w:val=""/>
      <w:lvlJc w:val="left"/>
      <w:pPr>
        <w:ind w:left="6480" w:hanging="360"/>
      </w:pPr>
      <w:rPr>
        <w:rFonts w:ascii="Wingdings" w:hAnsi="Wingdings" w:hint="default"/>
      </w:rPr>
    </w:lvl>
  </w:abstractNum>
  <w:abstractNum w:abstractNumId="28" w15:restartNumberingAfterBreak="0">
    <w:nsid w:val="7B7D2C65"/>
    <w:multiLevelType w:val="hybridMultilevel"/>
    <w:tmpl w:val="0EA40A7C"/>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4338051">
    <w:abstractNumId w:val="6"/>
  </w:num>
  <w:num w:numId="2" w16cid:durableId="1916235123">
    <w:abstractNumId w:val="8"/>
  </w:num>
  <w:num w:numId="3" w16cid:durableId="575364371">
    <w:abstractNumId w:val="4"/>
  </w:num>
  <w:num w:numId="4" w16cid:durableId="1094939070">
    <w:abstractNumId w:val="9"/>
  </w:num>
  <w:num w:numId="5" w16cid:durableId="1074426064">
    <w:abstractNumId w:val="19"/>
  </w:num>
  <w:num w:numId="6" w16cid:durableId="621762377">
    <w:abstractNumId w:val="27"/>
  </w:num>
  <w:num w:numId="7" w16cid:durableId="1477918476">
    <w:abstractNumId w:val="12"/>
  </w:num>
  <w:num w:numId="8" w16cid:durableId="1292787929">
    <w:abstractNumId w:val="3"/>
  </w:num>
  <w:num w:numId="9" w16cid:durableId="1358265435">
    <w:abstractNumId w:val="5"/>
  </w:num>
  <w:num w:numId="10" w16cid:durableId="1196583030">
    <w:abstractNumId w:val="15"/>
  </w:num>
  <w:num w:numId="11" w16cid:durableId="1123578216">
    <w:abstractNumId w:val="20"/>
  </w:num>
  <w:num w:numId="12" w16cid:durableId="750662488">
    <w:abstractNumId w:val="26"/>
  </w:num>
  <w:num w:numId="13" w16cid:durableId="1134326729">
    <w:abstractNumId w:val="25"/>
  </w:num>
  <w:num w:numId="14" w16cid:durableId="1537043360">
    <w:abstractNumId w:val="16"/>
  </w:num>
  <w:num w:numId="15" w16cid:durableId="85344626">
    <w:abstractNumId w:val="2"/>
  </w:num>
  <w:num w:numId="16" w16cid:durableId="1786581431">
    <w:abstractNumId w:val="17"/>
  </w:num>
  <w:num w:numId="17" w16cid:durableId="217018561">
    <w:abstractNumId w:val="10"/>
  </w:num>
  <w:num w:numId="18" w16cid:durableId="356928834">
    <w:abstractNumId w:val="13"/>
  </w:num>
  <w:num w:numId="19" w16cid:durableId="1552226574">
    <w:abstractNumId w:val="11"/>
  </w:num>
  <w:num w:numId="20" w16cid:durableId="537545276">
    <w:abstractNumId w:val="22"/>
  </w:num>
  <w:num w:numId="21" w16cid:durableId="463621174">
    <w:abstractNumId w:val="23"/>
  </w:num>
  <w:num w:numId="22" w16cid:durableId="193033897">
    <w:abstractNumId w:val="1"/>
  </w:num>
  <w:num w:numId="23" w16cid:durableId="1698696861">
    <w:abstractNumId w:val="14"/>
  </w:num>
  <w:num w:numId="24" w16cid:durableId="1661077338">
    <w:abstractNumId w:val="21"/>
  </w:num>
  <w:num w:numId="25" w16cid:durableId="1925795349">
    <w:abstractNumId w:val="28"/>
  </w:num>
  <w:num w:numId="26" w16cid:durableId="1185636250">
    <w:abstractNumId w:val="24"/>
  </w:num>
  <w:num w:numId="27" w16cid:durableId="1314023458">
    <w:abstractNumId w:val="7"/>
  </w:num>
  <w:num w:numId="28" w16cid:durableId="601571504">
    <w:abstractNumId w:val="18"/>
  </w:num>
  <w:num w:numId="29" w16cid:durableId="57149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71316"/>
    <w:rsid w:val="00002EAA"/>
    <w:rsid w:val="000126DD"/>
    <w:rsid w:val="000167CC"/>
    <w:rsid w:val="00033FF7"/>
    <w:rsid w:val="00041FA0"/>
    <w:rsid w:val="00054948"/>
    <w:rsid w:val="00054D90"/>
    <w:rsid w:val="00057E23"/>
    <w:rsid w:val="0006385D"/>
    <w:rsid w:val="000652B2"/>
    <w:rsid w:val="00076F0A"/>
    <w:rsid w:val="00077F73"/>
    <w:rsid w:val="00081869"/>
    <w:rsid w:val="00086A29"/>
    <w:rsid w:val="000956A7"/>
    <w:rsid w:val="00097270"/>
    <w:rsid w:val="000B54D0"/>
    <w:rsid w:val="000D64B8"/>
    <w:rsid w:val="000F0037"/>
    <w:rsid w:val="000F180B"/>
    <w:rsid w:val="000F1968"/>
    <w:rsid w:val="00110793"/>
    <w:rsid w:val="00110FD4"/>
    <w:rsid w:val="0014183E"/>
    <w:rsid w:val="00144A0A"/>
    <w:rsid w:val="001544BE"/>
    <w:rsid w:val="001621CA"/>
    <w:rsid w:val="0016778C"/>
    <w:rsid w:val="00172114"/>
    <w:rsid w:val="00172C0D"/>
    <w:rsid w:val="00172C19"/>
    <w:rsid w:val="00176D38"/>
    <w:rsid w:val="00191A05"/>
    <w:rsid w:val="00192D33"/>
    <w:rsid w:val="001949E6"/>
    <w:rsid w:val="00195DFA"/>
    <w:rsid w:val="001B2A8C"/>
    <w:rsid w:val="001E7537"/>
    <w:rsid w:val="001E76A4"/>
    <w:rsid w:val="00204DC6"/>
    <w:rsid w:val="00212FDF"/>
    <w:rsid w:val="00220EDF"/>
    <w:rsid w:val="002210F2"/>
    <w:rsid w:val="00226375"/>
    <w:rsid w:val="00227418"/>
    <w:rsid w:val="00230320"/>
    <w:rsid w:val="00233AE7"/>
    <w:rsid w:val="002379F8"/>
    <w:rsid w:val="002455BD"/>
    <w:rsid w:val="00265F7A"/>
    <w:rsid w:val="002719EF"/>
    <w:rsid w:val="00273129"/>
    <w:rsid w:val="0029235F"/>
    <w:rsid w:val="002B01B2"/>
    <w:rsid w:val="002B7E36"/>
    <w:rsid w:val="002D350B"/>
    <w:rsid w:val="002E2C4C"/>
    <w:rsid w:val="002E3CEA"/>
    <w:rsid w:val="002F03D3"/>
    <w:rsid w:val="003120AD"/>
    <w:rsid w:val="00320E69"/>
    <w:rsid w:val="00322218"/>
    <w:rsid w:val="00330B86"/>
    <w:rsid w:val="00343907"/>
    <w:rsid w:val="003506DE"/>
    <w:rsid w:val="00353FD8"/>
    <w:rsid w:val="0037422A"/>
    <w:rsid w:val="0037537B"/>
    <w:rsid w:val="003802CA"/>
    <w:rsid w:val="003836E3"/>
    <w:rsid w:val="00396692"/>
    <w:rsid w:val="003A0713"/>
    <w:rsid w:val="003B0628"/>
    <w:rsid w:val="003C09B7"/>
    <w:rsid w:val="003C46EE"/>
    <w:rsid w:val="003D275B"/>
    <w:rsid w:val="003E113B"/>
    <w:rsid w:val="003E5F88"/>
    <w:rsid w:val="003F323A"/>
    <w:rsid w:val="003F3582"/>
    <w:rsid w:val="003F672C"/>
    <w:rsid w:val="0041068F"/>
    <w:rsid w:val="00416AE1"/>
    <w:rsid w:val="004305D4"/>
    <w:rsid w:val="00432C8F"/>
    <w:rsid w:val="00433FAF"/>
    <w:rsid w:val="00441343"/>
    <w:rsid w:val="0045464E"/>
    <w:rsid w:val="00461BC1"/>
    <w:rsid w:val="00465597"/>
    <w:rsid w:val="00466A9E"/>
    <w:rsid w:val="00481F8E"/>
    <w:rsid w:val="00495006"/>
    <w:rsid w:val="00496816"/>
    <w:rsid w:val="004A38FE"/>
    <w:rsid w:val="004A5D79"/>
    <w:rsid w:val="004A5F0D"/>
    <w:rsid w:val="004A6C45"/>
    <w:rsid w:val="004C7119"/>
    <w:rsid w:val="004D34CA"/>
    <w:rsid w:val="004E4CB8"/>
    <w:rsid w:val="004F1741"/>
    <w:rsid w:val="004F4EB8"/>
    <w:rsid w:val="005042BA"/>
    <w:rsid w:val="0050550D"/>
    <w:rsid w:val="0050635F"/>
    <w:rsid w:val="00515E21"/>
    <w:rsid w:val="005163BA"/>
    <w:rsid w:val="00521564"/>
    <w:rsid w:val="0052457F"/>
    <w:rsid w:val="00526748"/>
    <w:rsid w:val="0055366C"/>
    <w:rsid w:val="005613A6"/>
    <w:rsid w:val="00562759"/>
    <w:rsid w:val="00570CE7"/>
    <w:rsid w:val="0057211C"/>
    <w:rsid w:val="00573A51"/>
    <w:rsid w:val="00573EF8"/>
    <w:rsid w:val="005A212B"/>
    <w:rsid w:val="005C08C5"/>
    <w:rsid w:val="005C0DD8"/>
    <w:rsid w:val="005C5AF2"/>
    <w:rsid w:val="005D1825"/>
    <w:rsid w:val="005D2ECE"/>
    <w:rsid w:val="005F08E6"/>
    <w:rsid w:val="005F14F0"/>
    <w:rsid w:val="005F2699"/>
    <w:rsid w:val="005F4FD6"/>
    <w:rsid w:val="00601EC2"/>
    <w:rsid w:val="00616EE4"/>
    <w:rsid w:val="00634AF0"/>
    <w:rsid w:val="00635FE5"/>
    <w:rsid w:val="00636190"/>
    <w:rsid w:val="006415AF"/>
    <w:rsid w:val="00642F4B"/>
    <w:rsid w:val="0064379D"/>
    <w:rsid w:val="00644B90"/>
    <w:rsid w:val="006508CC"/>
    <w:rsid w:val="00652E8C"/>
    <w:rsid w:val="00653501"/>
    <w:rsid w:val="006720EF"/>
    <w:rsid w:val="00675647"/>
    <w:rsid w:val="00675C78"/>
    <w:rsid w:val="00676F45"/>
    <w:rsid w:val="00681309"/>
    <w:rsid w:val="00685F43"/>
    <w:rsid w:val="00693441"/>
    <w:rsid w:val="006A26BD"/>
    <w:rsid w:val="006B2B3D"/>
    <w:rsid w:val="006C1BF5"/>
    <w:rsid w:val="006D7DE5"/>
    <w:rsid w:val="006E02AC"/>
    <w:rsid w:val="006F0798"/>
    <w:rsid w:val="006F1DDA"/>
    <w:rsid w:val="006F2C93"/>
    <w:rsid w:val="006F4635"/>
    <w:rsid w:val="006F63B9"/>
    <w:rsid w:val="006F6C69"/>
    <w:rsid w:val="006F7A06"/>
    <w:rsid w:val="007219C0"/>
    <w:rsid w:val="00731A3A"/>
    <w:rsid w:val="00737181"/>
    <w:rsid w:val="007506FA"/>
    <w:rsid w:val="0075407B"/>
    <w:rsid w:val="007665E9"/>
    <w:rsid w:val="007677FF"/>
    <w:rsid w:val="00772B92"/>
    <w:rsid w:val="00773E20"/>
    <w:rsid w:val="007947E3"/>
    <w:rsid w:val="007A6EC8"/>
    <w:rsid w:val="007C1844"/>
    <w:rsid w:val="007C68CB"/>
    <w:rsid w:val="007D0B60"/>
    <w:rsid w:val="007D1285"/>
    <w:rsid w:val="007D5616"/>
    <w:rsid w:val="007E2536"/>
    <w:rsid w:val="007F1F59"/>
    <w:rsid w:val="007F2C16"/>
    <w:rsid w:val="007F33BC"/>
    <w:rsid w:val="008129F6"/>
    <w:rsid w:val="008243CF"/>
    <w:rsid w:val="008276FB"/>
    <w:rsid w:val="00827F1A"/>
    <w:rsid w:val="00832584"/>
    <w:rsid w:val="0083495B"/>
    <w:rsid w:val="00842B27"/>
    <w:rsid w:val="00847242"/>
    <w:rsid w:val="00856321"/>
    <w:rsid w:val="00856E84"/>
    <w:rsid w:val="008609B4"/>
    <w:rsid w:val="008674BA"/>
    <w:rsid w:val="00870746"/>
    <w:rsid w:val="008A0EF1"/>
    <w:rsid w:val="008C5CDF"/>
    <w:rsid w:val="008E2E6C"/>
    <w:rsid w:val="008E3996"/>
    <w:rsid w:val="008E4740"/>
    <w:rsid w:val="00900124"/>
    <w:rsid w:val="00921F1D"/>
    <w:rsid w:val="00925E3E"/>
    <w:rsid w:val="00926BBE"/>
    <w:rsid w:val="00931D5F"/>
    <w:rsid w:val="009340AE"/>
    <w:rsid w:val="00937C87"/>
    <w:rsid w:val="009434F5"/>
    <w:rsid w:val="00972642"/>
    <w:rsid w:val="00972F61"/>
    <w:rsid w:val="00990BDB"/>
    <w:rsid w:val="00995820"/>
    <w:rsid w:val="009A2B5C"/>
    <w:rsid w:val="009A6948"/>
    <w:rsid w:val="009B1645"/>
    <w:rsid w:val="009C0B68"/>
    <w:rsid w:val="009C6827"/>
    <w:rsid w:val="009D3A88"/>
    <w:rsid w:val="009E08F6"/>
    <w:rsid w:val="00A01C3B"/>
    <w:rsid w:val="00A05793"/>
    <w:rsid w:val="00A1221F"/>
    <w:rsid w:val="00A16A98"/>
    <w:rsid w:val="00A2224C"/>
    <w:rsid w:val="00A443CA"/>
    <w:rsid w:val="00A5354B"/>
    <w:rsid w:val="00A55568"/>
    <w:rsid w:val="00A575AE"/>
    <w:rsid w:val="00A66E24"/>
    <w:rsid w:val="00A67ABD"/>
    <w:rsid w:val="00A67DF0"/>
    <w:rsid w:val="00A77CAB"/>
    <w:rsid w:val="00A859EC"/>
    <w:rsid w:val="00A95369"/>
    <w:rsid w:val="00AA6B4F"/>
    <w:rsid w:val="00AC22F1"/>
    <w:rsid w:val="00AE4AE8"/>
    <w:rsid w:val="00AF1CD4"/>
    <w:rsid w:val="00AF4D13"/>
    <w:rsid w:val="00B07C7E"/>
    <w:rsid w:val="00B2752D"/>
    <w:rsid w:val="00B353F1"/>
    <w:rsid w:val="00B35A5B"/>
    <w:rsid w:val="00B40F24"/>
    <w:rsid w:val="00B55D04"/>
    <w:rsid w:val="00B6037C"/>
    <w:rsid w:val="00B62B4F"/>
    <w:rsid w:val="00B714C3"/>
    <w:rsid w:val="00B81EA5"/>
    <w:rsid w:val="00B83985"/>
    <w:rsid w:val="00B919FC"/>
    <w:rsid w:val="00BC3149"/>
    <w:rsid w:val="00BE0983"/>
    <w:rsid w:val="00BE4447"/>
    <w:rsid w:val="00BE609E"/>
    <w:rsid w:val="00BF6034"/>
    <w:rsid w:val="00C01850"/>
    <w:rsid w:val="00C02304"/>
    <w:rsid w:val="00C07B16"/>
    <w:rsid w:val="00C10927"/>
    <w:rsid w:val="00C20B2E"/>
    <w:rsid w:val="00C25593"/>
    <w:rsid w:val="00C34D8D"/>
    <w:rsid w:val="00C46064"/>
    <w:rsid w:val="00C47B61"/>
    <w:rsid w:val="00C5081B"/>
    <w:rsid w:val="00C52243"/>
    <w:rsid w:val="00C643C6"/>
    <w:rsid w:val="00C84733"/>
    <w:rsid w:val="00C854E6"/>
    <w:rsid w:val="00C8634C"/>
    <w:rsid w:val="00CA166E"/>
    <w:rsid w:val="00CA3E51"/>
    <w:rsid w:val="00CC0E5C"/>
    <w:rsid w:val="00CE159C"/>
    <w:rsid w:val="00CE5907"/>
    <w:rsid w:val="00CF6472"/>
    <w:rsid w:val="00CF6BD9"/>
    <w:rsid w:val="00D01AC4"/>
    <w:rsid w:val="00D02347"/>
    <w:rsid w:val="00D31CDB"/>
    <w:rsid w:val="00D41E34"/>
    <w:rsid w:val="00D5009F"/>
    <w:rsid w:val="00D53EFE"/>
    <w:rsid w:val="00D55437"/>
    <w:rsid w:val="00D83B11"/>
    <w:rsid w:val="00D909DB"/>
    <w:rsid w:val="00D97242"/>
    <w:rsid w:val="00DA32B5"/>
    <w:rsid w:val="00DA4245"/>
    <w:rsid w:val="00DC6DF4"/>
    <w:rsid w:val="00DC782A"/>
    <w:rsid w:val="00DD72E5"/>
    <w:rsid w:val="00DF4DA9"/>
    <w:rsid w:val="00E12A87"/>
    <w:rsid w:val="00E2091D"/>
    <w:rsid w:val="00E315B7"/>
    <w:rsid w:val="00E35E23"/>
    <w:rsid w:val="00E46151"/>
    <w:rsid w:val="00E4768D"/>
    <w:rsid w:val="00E60EDE"/>
    <w:rsid w:val="00E61963"/>
    <w:rsid w:val="00E638C9"/>
    <w:rsid w:val="00E65AA6"/>
    <w:rsid w:val="00E90F52"/>
    <w:rsid w:val="00EB0472"/>
    <w:rsid w:val="00EB1828"/>
    <w:rsid w:val="00EB4CB6"/>
    <w:rsid w:val="00ED4CC1"/>
    <w:rsid w:val="00ED7A8B"/>
    <w:rsid w:val="00EE09F3"/>
    <w:rsid w:val="00EE6DB4"/>
    <w:rsid w:val="00EF4D07"/>
    <w:rsid w:val="00EF5DE3"/>
    <w:rsid w:val="00EF6922"/>
    <w:rsid w:val="00F0619F"/>
    <w:rsid w:val="00F17E55"/>
    <w:rsid w:val="00F300A8"/>
    <w:rsid w:val="00F31243"/>
    <w:rsid w:val="00F3259A"/>
    <w:rsid w:val="00F36FA5"/>
    <w:rsid w:val="00F60707"/>
    <w:rsid w:val="00F613AA"/>
    <w:rsid w:val="00F63A40"/>
    <w:rsid w:val="00F778B8"/>
    <w:rsid w:val="00F821E8"/>
    <w:rsid w:val="00F90F46"/>
    <w:rsid w:val="00F971AA"/>
    <w:rsid w:val="00FB3774"/>
    <w:rsid w:val="00FC4649"/>
    <w:rsid w:val="00FD2631"/>
    <w:rsid w:val="00FE13BE"/>
    <w:rsid w:val="00FE1EEF"/>
    <w:rsid w:val="00FF1AB3"/>
    <w:rsid w:val="01371316"/>
    <w:rsid w:val="02A2B7F5"/>
    <w:rsid w:val="045DA2DD"/>
    <w:rsid w:val="04C4E964"/>
    <w:rsid w:val="079B9EB6"/>
    <w:rsid w:val="08FA000C"/>
    <w:rsid w:val="09021F68"/>
    <w:rsid w:val="0AF54F57"/>
    <w:rsid w:val="0CCECD54"/>
    <w:rsid w:val="0DBDFCC0"/>
    <w:rsid w:val="0E17F7C4"/>
    <w:rsid w:val="0E1DAD80"/>
    <w:rsid w:val="0ED6F5C5"/>
    <w:rsid w:val="0EDEE34B"/>
    <w:rsid w:val="10AD40D4"/>
    <w:rsid w:val="10D4E7E3"/>
    <w:rsid w:val="1298DA3E"/>
    <w:rsid w:val="130EA8DE"/>
    <w:rsid w:val="1313A10C"/>
    <w:rsid w:val="1485017E"/>
    <w:rsid w:val="164FD45A"/>
    <w:rsid w:val="1A2D25A5"/>
    <w:rsid w:val="1B79DAC2"/>
    <w:rsid w:val="1BE64088"/>
    <w:rsid w:val="1E932B46"/>
    <w:rsid w:val="20306705"/>
    <w:rsid w:val="20FD46D9"/>
    <w:rsid w:val="20FD79AA"/>
    <w:rsid w:val="21050D4E"/>
    <w:rsid w:val="217434A0"/>
    <w:rsid w:val="22137F7A"/>
    <w:rsid w:val="23E72072"/>
    <w:rsid w:val="2D5EC2DF"/>
    <w:rsid w:val="31B422FE"/>
    <w:rsid w:val="33AFD818"/>
    <w:rsid w:val="357750F5"/>
    <w:rsid w:val="366206DC"/>
    <w:rsid w:val="3827DDA8"/>
    <w:rsid w:val="38399351"/>
    <w:rsid w:val="385F4BB6"/>
    <w:rsid w:val="3B173D45"/>
    <w:rsid w:val="3F7CB606"/>
    <w:rsid w:val="44780667"/>
    <w:rsid w:val="4817C286"/>
    <w:rsid w:val="4B55A4F4"/>
    <w:rsid w:val="4CE8D384"/>
    <w:rsid w:val="4D396C34"/>
    <w:rsid w:val="50CA31F1"/>
    <w:rsid w:val="511581D4"/>
    <w:rsid w:val="530E0FC0"/>
    <w:rsid w:val="53CE552C"/>
    <w:rsid w:val="54BB8C5A"/>
    <w:rsid w:val="57CBF116"/>
    <w:rsid w:val="58DB0775"/>
    <w:rsid w:val="5934CFA8"/>
    <w:rsid w:val="5AF5D716"/>
    <w:rsid w:val="5B2CC61C"/>
    <w:rsid w:val="5F2AC7A8"/>
    <w:rsid w:val="64C003EB"/>
    <w:rsid w:val="65594022"/>
    <w:rsid w:val="68E37A1A"/>
    <w:rsid w:val="6A5C932E"/>
    <w:rsid w:val="6B0E6F18"/>
    <w:rsid w:val="6BAD227A"/>
    <w:rsid w:val="6E66E631"/>
    <w:rsid w:val="6F288B3B"/>
    <w:rsid w:val="6F851818"/>
    <w:rsid w:val="70CBE5A3"/>
    <w:rsid w:val="714D8154"/>
    <w:rsid w:val="71D76F32"/>
    <w:rsid w:val="72EE7E6E"/>
    <w:rsid w:val="75809EC3"/>
    <w:rsid w:val="7A65BAF7"/>
    <w:rsid w:val="7CD659DA"/>
    <w:rsid w:val="7F70CCE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1316"/>
  <w15:chartTrackingRefBased/>
  <w15:docId w15:val="{1B41FC9D-DAEF-4F9E-A0C2-BC79528E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AC"/>
    <w:pPr>
      <w:keepNext/>
      <w:keepLines/>
    </w:pPr>
    <w:rPr>
      <w:rFonts w:ascii="Poppins Light" w:hAnsi="Poppins Light"/>
      <w:sz w:val="18"/>
    </w:rPr>
  </w:style>
  <w:style w:type="paragraph" w:styleId="Titre1">
    <w:name w:val="heading 1"/>
    <w:basedOn w:val="Normal"/>
    <w:next w:val="Normal"/>
    <w:link w:val="Titre1Car"/>
    <w:uiPriority w:val="9"/>
    <w:qFormat/>
    <w:rsid w:val="00EB1828"/>
    <w:pPr>
      <w:numPr>
        <w:numId w:val="23"/>
      </w:numPr>
      <w:spacing w:before="240" w:after="240"/>
      <w:outlineLvl w:val="0"/>
    </w:pPr>
    <w:rPr>
      <w:rFonts w:ascii="Poppins Bold" w:eastAsiaTheme="majorEastAsia" w:hAnsi="Poppins Bold" w:cstheme="majorBidi"/>
      <w:sz w:val="32"/>
      <w:szCs w:val="32"/>
    </w:rPr>
  </w:style>
  <w:style w:type="paragraph" w:styleId="Titre2">
    <w:name w:val="heading 2"/>
    <w:basedOn w:val="Normal"/>
    <w:next w:val="Normal"/>
    <w:link w:val="Titre2Car"/>
    <w:uiPriority w:val="9"/>
    <w:unhideWhenUsed/>
    <w:qFormat/>
    <w:rsid w:val="00990BDB"/>
    <w:pPr>
      <w:numPr>
        <w:ilvl w:val="1"/>
        <w:numId w:val="23"/>
      </w:numPr>
      <w:spacing w:before="240" w:after="60"/>
      <w:outlineLvl w:val="1"/>
    </w:pPr>
    <w:rPr>
      <w:rFonts w:ascii="Poppins Bold" w:eastAsiaTheme="majorEastAsia" w:hAnsi="Poppins Bold" w:cstheme="majorBidi"/>
      <w:sz w:val="26"/>
      <w:szCs w:val="26"/>
    </w:rPr>
  </w:style>
  <w:style w:type="paragraph" w:styleId="Titre3">
    <w:name w:val="heading 3"/>
    <w:basedOn w:val="Normal"/>
    <w:next w:val="Normal"/>
    <w:link w:val="Titre3Car"/>
    <w:uiPriority w:val="9"/>
    <w:unhideWhenUsed/>
    <w:qFormat/>
    <w:rsid w:val="004A38FE"/>
    <w:pPr>
      <w:numPr>
        <w:ilvl w:val="2"/>
        <w:numId w:val="23"/>
      </w:numPr>
      <w:spacing w:before="40" w:after="0"/>
      <w:outlineLvl w:val="2"/>
    </w:pPr>
    <w:rPr>
      <w:rFonts w:ascii="Poppins Bold" w:eastAsiaTheme="majorEastAsia" w:hAnsi="Poppins Bold" w:cstheme="majorBidi"/>
      <w:sz w:val="24"/>
      <w:szCs w:val="24"/>
    </w:rPr>
  </w:style>
  <w:style w:type="paragraph" w:styleId="Titre4">
    <w:name w:val="heading 4"/>
    <w:basedOn w:val="Normal"/>
    <w:next w:val="Normal"/>
    <w:link w:val="Titre4Car"/>
    <w:uiPriority w:val="9"/>
    <w:semiHidden/>
    <w:unhideWhenUsed/>
    <w:qFormat/>
    <w:rsid w:val="00990BDB"/>
    <w:pPr>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90BDB"/>
    <w:pPr>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90BDB"/>
    <w:pPr>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90BDB"/>
    <w:pPr>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90BDB"/>
    <w:pPr>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90BDB"/>
    <w:pPr>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828"/>
    <w:rPr>
      <w:rFonts w:ascii="Poppins Bold" w:eastAsiaTheme="majorEastAsia" w:hAnsi="Poppins Bold" w:cstheme="majorBidi"/>
      <w:sz w:val="32"/>
      <w:szCs w:val="32"/>
    </w:rPr>
  </w:style>
  <w:style w:type="character" w:customStyle="1" w:styleId="Titre2Car">
    <w:name w:val="Titre 2 Car"/>
    <w:basedOn w:val="Policepardfaut"/>
    <w:link w:val="Titre2"/>
    <w:uiPriority w:val="9"/>
    <w:rsid w:val="00990BDB"/>
    <w:rPr>
      <w:rFonts w:ascii="Poppins Bold" w:eastAsiaTheme="majorEastAsia" w:hAnsi="Poppins Bold" w:cstheme="majorBidi"/>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3Car">
    <w:name w:val="Titre 3 Car"/>
    <w:basedOn w:val="Policepardfaut"/>
    <w:link w:val="Titre3"/>
    <w:uiPriority w:val="9"/>
    <w:rsid w:val="004A38FE"/>
    <w:rPr>
      <w:rFonts w:ascii="Poppins Bold" w:eastAsiaTheme="majorEastAsia" w:hAnsi="Poppins Bold" w:cstheme="majorBidi"/>
      <w:sz w:val="24"/>
      <w:szCs w:val="24"/>
    </w:rPr>
  </w:style>
  <w:style w:type="character" w:styleId="lev">
    <w:name w:val="Strong"/>
    <w:basedOn w:val="Policepardfaut"/>
    <w:uiPriority w:val="22"/>
    <w:qFormat/>
    <w:rsid w:val="00C25593"/>
    <w:rPr>
      <w:rFonts w:ascii="Poppins Bold" w:hAnsi="Poppins Bold"/>
      <w:b/>
      <w:bCs/>
      <w:color w:val="auto"/>
    </w:rPr>
  </w:style>
  <w:style w:type="character" w:styleId="Titredulivre">
    <w:name w:val="Book Title"/>
    <w:basedOn w:val="Policepardfaut"/>
    <w:uiPriority w:val="33"/>
    <w:qFormat/>
    <w:rsid w:val="009C0B68"/>
    <w:rPr>
      <w:b/>
      <w:bCs/>
      <w:i/>
      <w:iCs/>
      <w:spacing w:val="5"/>
    </w:rPr>
  </w:style>
  <w:style w:type="paragraph" w:styleId="En-ttedetabledesmatires">
    <w:name w:val="TOC Heading"/>
    <w:basedOn w:val="Titre1"/>
    <w:next w:val="Normal"/>
    <w:uiPriority w:val="39"/>
    <w:unhideWhenUsed/>
    <w:qFormat/>
    <w:rsid w:val="002455BD"/>
    <w:pPr>
      <w:spacing w:after="0"/>
      <w:outlineLvl w:val="9"/>
    </w:pPr>
    <w:rPr>
      <w:rFonts w:asciiTheme="majorHAnsi" w:hAnsiTheme="majorHAnsi"/>
      <w:color w:val="2F5496" w:themeColor="accent1" w:themeShade="BF"/>
      <w:lang w:val="en-GB" w:eastAsia="en-GB"/>
    </w:rPr>
  </w:style>
  <w:style w:type="paragraph" w:styleId="TM1">
    <w:name w:val="toc 1"/>
    <w:basedOn w:val="Normal"/>
    <w:next w:val="Normal"/>
    <w:autoRedefine/>
    <w:uiPriority w:val="39"/>
    <w:unhideWhenUsed/>
    <w:rsid w:val="002455BD"/>
    <w:pPr>
      <w:spacing w:after="100"/>
    </w:pPr>
  </w:style>
  <w:style w:type="paragraph" w:styleId="TM2">
    <w:name w:val="toc 2"/>
    <w:basedOn w:val="Normal"/>
    <w:next w:val="Normal"/>
    <w:autoRedefine/>
    <w:uiPriority w:val="39"/>
    <w:unhideWhenUsed/>
    <w:rsid w:val="002455BD"/>
    <w:pPr>
      <w:spacing w:after="100"/>
      <w:ind w:left="180"/>
    </w:pPr>
  </w:style>
  <w:style w:type="character" w:styleId="Lienhypertexte">
    <w:name w:val="Hyperlink"/>
    <w:basedOn w:val="Policepardfaut"/>
    <w:uiPriority w:val="99"/>
    <w:unhideWhenUsed/>
    <w:rsid w:val="002455BD"/>
    <w:rPr>
      <w:color w:val="0563C1" w:themeColor="hyperlink"/>
      <w:u w:val="single"/>
    </w:rPr>
  </w:style>
  <w:style w:type="character" w:customStyle="1" w:styleId="Titre4Car">
    <w:name w:val="Titre 4 Car"/>
    <w:basedOn w:val="Policepardfaut"/>
    <w:link w:val="Titre4"/>
    <w:uiPriority w:val="9"/>
    <w:semiHidden/>
    <w:rsid w:val="00990BDB"/>
    <w:rPr>
      <w:rFonts w:asciiTheme="majorHAnsi" w:eastAsiaTheme="majorEastAsia" w:hAnsiTheme="majorHAnsi" w:cstheme="majorBidi"/>
      <w:i/>
      <w:iCs/>
      <w:color w:val="2F5496" w:themeColor="accent1" w:themeShade="BF"/>
      <w:sz w:val="18"/>
    </w:rPr>
  </w:style>
  <w:style w:type="character" w:customStyle="1" w:styleId="Titre5Car">
    <w:name w:val="Titre 5 Car"/>
    <w:basedOn w:val="Policepardfaut"/>
    <w:link w:val="Titre5"/>
    <w:uiPriority w:val="9"/>
    <w:semiHidden/>
    <w:rsid w:val="00990BDB"/>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990BDB"/>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990BDB"/>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990BD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90BDB"/>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9A6948"/>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677">
      <w:bodyDiv w:val="1"/>
      <w:marLeft w:val="0"/>
      <w:marRight w:val="0"/>
      <w:marTop w:val="0"/>
      <w:marBottom w:val="0"/>
      <w:divBdr>
        <w:top w:val="none" w:sz="0" w:space="0" w:color="auto"/>
        <w:left w:val="none" w:sz="0" w:space="0" w:color="auto"/>
        <w:bottom w:val="none" w:sz="0" w:space="0" w:color="auto"/>
        <w:right w:val="none" w:sz="0" w:space="0" w:color="auto"/>
      </w:divBdr>
    </w:div>
    <w:div w:id="387219446">
      <w:bodyDiv w:val="1"/>
      <w:marLeft w:val="0"/>
      <w:marRight w:val="0"/>
      <w:marTop w:val="0"/>
      <w:marBottom w:val="0"/>
      <w:divBdr>
        <w:top w:val="none" w:sz="0" w:space="0" w:color="auto"/>
        <w:left w:val="none" w:sz="0" w:space="0" w:color="auto"/>
        <w:bottom w:val="none" w:sz="0" w:space="0" w:color="auto"/>
        <w:right w:val="none" w:sz="0" w:space="0" w:color="auto"/>
      </w:divBdr>
    </w:div>
    <w:div w:id="543253192">
      <w:bodyDiv w:val="1"/>
      <w:marLeft w:val="0"/>
      <w:marRight w:val="0"/>
      <w:marTop w:val="0"/>
      <w:marBottom w:val="0"/>
      <w:divBdr>
        <w:top w:val="none" w:sz="0" w:space="0" w:color="auto"/>
        <w:left w:val="none" w:sz="0" w:space="0" w:color="auto"/>
        <w:bottom w:val="none" w:sz="0" w:space="0" w:color="auto"/>
        <w:right w:val="none" w:sz="0" w:space="0" w:color="auto"/>
      </w:divBdr>
    </w:div>
    <w:div w:id="73820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AE0D-206B-408D-A96D-1B03974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1685</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11272</CharactersWithSpaces>
  <SharedDoc>false</SharedDoc>
  <HLinks>
    <vt:vector size="84" baseType="variant">
      <vt:variant>
        <vt:i4>1048630</vt:i4>
      </vt:variant>
      <vt:variant>
        <vt:i4>80</vt:i4>
      </vt:variant>
      <vt:variant>
        <vt:i4>0</vt:i4>
      </vt:variant>
      <vt:variant>
        <vt:i4>5</vt:i4>
      </vt:variant>
      <vt:variant>
        <vt:lpwstr/>
      </vt:variant>
      <vt:variant>
        <vt:lpwstr>_Toc300467348</vt:lpwstr>
      </vt:variant>
      <vt:variant>
        <vt:i4>1900597</vt:i4>
      </vt:variant>
      <vt:variant>
        <vt:i4>74</vt:i4>
      </vt:variant>
      <vt:variant>
        <vt:i4>0</vt:i4>
      </vt:variant>
      <vt:variant>
        <vt:i4>5</vt:i4>
      </vt:variant>
      <vt:variant>
        <vt:lpwstr/>
      </vt:variant>
      <vt:variant>
        <vt:lpwstr>_Toc283126653</vt:lpwstr>
      </vt:variant>
      <vt:variant>
        <vt:i4>1966132</vt:i4>
      </vt:variant>
      <vt:variant>
        <vt:i4>68</vt:i4>
      </vt:variant>
      <vt:variant>
        <vt:i4>0</vt:i4>
      </vt:variant>
      <vt:variant>
        <vt:i4>5</vt:i4>
      </vt:variant>
      <vt:variant>
        <vt:lpwstr/>
      </vt:variant>
      <vt:variant>
        <vt:lpwstr>_Toc79591970</vt:lpwstr>
      </vt:variant>
      <vt:variant>
        <vt:i4>2818055</vt:i4>
      </vt:variant>
      <vt:variant>
        <vt:i4>62</vt:i4>
      </vt:variant>
      <vt:variant>
        <vt:i4>0</vt:i4>
      </vt:variant>
      <vt:variant>
        <vt:i4>5</vt:i4>
      </vt:variant>
      <vt:variant>
        <vt:lpwstr/>
      </vt:variant>
      <vt:variant>
        <vt:lpwstr>_Toc1111530728</vt:lpwstr>
      </vt:variant>
      <vt:variant>
        <vt:i4>2097153</vt:i4>
      </vt:variant>
      <vt:variant>
        <vt:i4>56</vt:i4>
      </vt:variant>
      <vt:variant>
        <vt:i4>0</vt:i4>
      </vt:variant>
      <vt:variant>
        <vt:i4>5</vt:i4>
      </vt:variant>
      <vt:variant>
        <vt:lpwstr/>
      </vt:variant>
      <vt:variant>
        <vt:lpwstr>_Toc1422660047</vt:lpwstr>
      </vt:variant>
      <vt:variant>
        <vt:i4>2162700</vt:i4>
      </vt:variant>
      <vt:variant>
        <vt:i4>50</vt:i4>
      </vt:variant>
      <vt:variant>
        <vt:i4>0</vt:i4>
      </vt:variant>
      <vt:variant>
        <vt:i4>5</vt:i4>
      </vt:variant>
      <vt:variant>
        <vt:lpwstr/>
      </vt:variant>
      <vt:variant>
        <vt:lpwstr>_Toc1093546879</vt:lpwstr>
      </vt:variant>
      <vt:variant>
        <vt:i4>2686981</vt:i4>
      </vt:variant>
      <vt:variant>
        <vt:i4>44</vt:i4>
      </vt:variant>
      <vt:variant>
        <vt:i4>0</vt:i4>
      </vt:variant>
      <vt:variant>
        <vt:i4>5</vt:i4>
      </vt:variant>
      <vt:variant>
        <vt:lpwstr/>
      </vt:variant>
      <vt:variant>
        <vt:lpwstr>_Toc1673993496</vt:lpwstr>
      </vt:variant>
      <vt:variant>
        <vt:i4>1310768</vt:i4>
      </vt:variant>
      <vt:variant>
        <vt:i4>38</vt:i4>
      </vt:variant>
      <vt:variant>
        <vt:i4>0</vt:i4>
      </vt:variant>
      <vt:variant>
        <vt:i4>5</vt:i4>
      </vt:variant>
      <vt:variant>
        <vt:lpwstr/>
      </vt:variant>
      <vt:variant>
        <vt:lpwstr>_Toc225044351</vt:lpwstr>
      </vt:variant>
      <vt:variant>
        <vt:i4>2424847</vt:i4>
      </vt:variant>
      <vt:variant>
        <vt:i4>32</vt:i4>
      </vt:variant>
      <vt:variant>
        <vt:i4>0</vt:i4>
      </vt:variant>
      <vt:variant>
        <vt:i4>5</vt:i4>
      </vt:variant>
      <vt:variant>
        <vt:lpwstr/>
      </vt:variant>
      <vt:variant>
        <vt:lpwstr>_Toc2059788370</vt:lpwstr>
      </vt:variant>
      <vt:variant>
        <vt:i4>1245238</vt:i4>
      </vt:variant>
      <vt:variant>
        <vt:i4>26</vt:i4>
      </vt:variant>
      <vt:variant>
        <vt:i4>0</vt:i4>
      </vt:variant>
      <vt:variant>
        <vt:i4>5</vt:i4>
      </vt:variant>
      <vt:variant>
        <vt:lpwstr/>
      </vt:variant>
      <vt:variant>
        <vt:lpwstr>_Toc367667437</vt:lpwstr>
      </vt:variant>
      <vt:variant>
        <vt:i4>2162689</vt:i4>
      </vt:variant>
      <vt:variant>
        <vt:i4>20</vt:i4>
      </vt:variant>
      <vt:variant>
        <vt:i4>0</vt:i4>
      </vt:variant>
      <vt:variant>
        <vt:i4>5</vt:i4>
      </vt:variant>
      <vt:variant>
        <vt:lpwstr/>
      </vt:variant>
      <vt:variant>
        <vt:lpwstr>_Toc1742620524</vt:lpwstr>
      </vt:variant>
      <vt:variant>
        <vt:i4>2031667</vt:i4>
      </vt:variant>
      <vt:variant>
        <vt:i4>14</vt:i4>
      </vt:variant>
      <vt:variant>
        <vt:i4>0</vt:i4>
      </vt:variant>
      <vt:variant>
        <vt:i4>5</vt:i4>
      </vt:variant>
      <vt:variant>
        <vt:lpwstr/>
      </vt:variant>
      <vt:variant>
        <vt:lpwstr>_Toc28652154</vt:lpwstr>
      </vt:variant>
      <vt:variant>
        <vt:i4>1048634</vt:i4>
      </vt:variant>
      <vt:variant>
        <vt:i4>8</vt:i4>
      </vt:variant>
      <vt:variant>
        <vt:i4>0</vt:i4>
      </vt:variant>
      <vt:variant>
        <vt:i4>5</vt:i4>
      </vt:variant>
      <vt:variant>
        <vt:lpwstr/>
      </vt:variant>
      <vt:variant>
        <vt:lpwstr>_Toc122301975</vt:lpwstr>
      </vt:variant>
      <vt:variant>
        <vt:i4>2228228</vt:i4>
      </vt:variant>
      <vt:variant>
        <vt:i4>2</vt:i4>
      </vt:variant>
      <vt:variant>
        <vt:i4>0</vt:i4>
      </vt:variant>
      <vt:variant>
        <vt:i4>5</vt:i4>
      </vt:variant>
      <vt:variant>
        <vt:lpwstr/>
      </vt:variant>
      <vt:variant>
        <vt:lpwstr>_Toc1042171717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Éliot Pazzé</dc:creator>
  <cp:keywords/>
  <dc:description/>
  <cp:lastModifiedBy>Alexis Gibert</cp:lastModifiedBy>
  <cp:revision>206</cp:revision>
  <cp:lastPrinted>2023-12-06T22:48:00Z</cp:lastPrinted>
  <dcterms:created xsi:type="dcterms:W3CDTF">2023-11-28T09:23:00Z</dcterms:created>
  <dcterms:modified xsi:type="dcterms:W3CDTF">2023-12-06T22:49:00Z</dcterms:modified>
</cp:coreProperties>
</file>