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RF Spectrogram Anomaly Detection with Quantum Kitchen Sinks</w:t>
      </w:r>
    </w:p>
    <w:p>
      <w:pPr>
        <w:jc w:val="center"/>
      </w:pPr>
      <w:r>
        <w:rPr>
          <w:sz w:val="20"/>
        </w:rPr>
        <w:t>Abdallah Aaraba, Alexis Vieloszynski, Remon Polus, Ola Ahmad, Soumaya Cherkaoui</w:t>
        <w:br/>
      </w:r>
      <w:r>
        <w:rPr>
          <w:sz w:val="20"/>
        </w:rPr>
        <w:t>Polytechnique Montréal · Thales cortAIx Lab</w:t>
      </w:r>
    </w:p>
    <w:p/>
    <w:p>
      <w:pPr>
        <w:spacing w:after="120"/>
      </w:pPr>
      <w:r>
        <w:rPr>
          <w:rFonts w:ascii="Times New Roman" w:hAnsi="Times New Roman"/>
          <w:sz w:val="22"/>
        </w:rPr>
        <w:t>**Abstract** — The broadcast nature of wireless channels exposes radio-frequency (RF) networks to anomalous and malicious transmissions, making anomaly detection a fundamental requirement for secure spectrum management. Quantum Kitchen Sinks (QKS) offer a lightweight hybrid quantum feature map suitable for near-term quantum devices, yet their behavior on structured signal data remains poorly understood.</w:t>
      </w:r>
    </w:p>
    <w:p>
      <w:pPr>
        <w:spacing w:after="120"/>
      </w:pPr>
      <w:r>
        <w:rPr>
          <w:rFonts w:ascii="Times New Roman" w:hAnsi="Times New Roman"/>
          <w:sz w:val="22"/>
        </w:rPr>
        <w:t>In this paper, we extend the standard QKS template with multi-depth data re-uploading and ring entanglement, and evaluate the resulting pipeline on controlled RF spectrogram anomaly detection. We introduce a validation-locked five-stage ablation protocol that systematically separates the effects of shallow architecture, re-uploading depth, episode budget, input representation, and classical readout.</w:t>
      </w:r>
    </w:p>
    <w:p>
      <w:pPr>
        <w:spacing w:after="120"/>
      </w:pPr>
      <w:r>
        <w:rPr>
          <w:rFonts w:ascii="Times New Roman" w:hAnsi="Times New Roman"/>
          <w:sz w:val="22"/>
        </w:rPr>
        <w:t>Across the completed benchmark, **Discrete Cosine Transform (DCT) representations consistently dominate raw and Principal Component Analysis (PCA) inputs**, moderate-depth entangled QKS configurations form the strongest operating regime, and QKS improves over matched classical direct-readout baselines across all evaluated representation-readout pairs on the held-out test set, with the best configuration reaching:</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Test AUROC</w:t>
            </w:r>
          </w:p>
        </w:tc>
        <w:tc>
          <w:tcPr>
            <w:tcW w:type="dxa" w:w="4320"/>
          </w:tcPr>
          <w:p>
            <w:r>
              <w:t>**0.8778**</w:t>
            </w:r>
          </w:p>
        </w:tc>
      </w:tr>
      <w:tr>
        <w:tc>
          <w:tcPr>
            <w:tcW w:type="dxa" w:w="4320"/>
          </w:tcPr>
          <w:p>
            <w:r>
              <w:t>Test F1</w:t>
            </w:r>
          </w:p>
        </w:tc>
        <w:tc>
          <w:tcPr>
            <w:tcW w:type="dxa" w:w="4320"/>
          </w:tcPr>
          <w:p>
            <w:r>
              <w:t>**0.7995**</w:t>
            </w:r>
          </w:p>
        </w:tc>
      </w:tr>
      <w:tr>
        <w:tc>
          <w:tcPr>
            <w:tcW w:type="dxa" w:w="4320"/>
          </w:tcPr>
          <w:p>
            <w:r>
              <w:t>Training samples</w:t>
            </w:r>
          </w:p>
        </w:tc>
        <w:tc>
          <w:tcPr>
            <w:tcW w:type="dxa" w:w="4320"/>
          </w:tcPr>
          <w:p>
            <w:r>
              <w:t>21,600</w:t>
            </w:r>
          </w:p>
        </w:tc>
      </w:tr>
      <w:tr>
        <w:tc>
          <w:tcPr>
            <w:tcW w:type="dxa" w:w="4320"/>
          </w:tcPr>
          <w:p>
            <w:r>
              <w:t>Test samples</w:t>
            </w:r>
          </w:p>
        </w:tc>
        <w:tc>
          <w:tcPr>
            <w:tcW w:type="dxa" w:w="4320"/>
          </w:tcPr>
          <w:p>
            <w:r>
              <w:t>8,124</w:t>
            </w:r>
          </w:p>
        </w:tc>
      </w:tr>
    </w:tbl>
    <w:p>
      <w:pPr>
        <w:spacing w:after="120"/>
      </w:pPr>
      <w:r>
        <w:rPr>
          <w:rFonts w:ascii="Times New Roman" w:hAnsi="Times New Roman"/>
          <w:sz w:val="22"/>
        </w:rPr>
        <w:t>The study bridges two levels of realism: real measured sub-6 GHz cellular signals on the data side and real-device validation on the **ibm_quebec** Quantum Processing Unit (QPU) on the computing side, with AUROC deviations below **0.013** relative to simulation. These results provide a practical, reproducible framework for deploying QKS-based anomaly detection in wireless networks.</w:t>
      </w:r>
    </w:p>
    <w:p>
      <w:pPr>
        <w:spacing w:after="120"/>
      </w:pPr>
      <w:r>
        <w:rPr>
          <w:rFonts w:ascii="Times New Roman" w:hAnsi="Times New Roman"/>
          <w:sz w:val="22"/>
        </w:rPr>
        <w:t>**Keywords**: Quantum machine learning, Quantum Kitchen Sinks, anomaly detection, RF spectrograms, hybrid quantum-classical models</w:t>
      </w:r>
    </w:p>
    <w:p>
      <w:r>
        <w:br w:type="page"/>
      </w:r>
    </w:p>
    <w:p>
      <w:pPr>
        <w:pStyle w:val="Heading2"/>
      </w:pPr>
      <w:r>
        <w:t>1. Introduction</w:t>
      </w:r>
    </w:p>
    <w:p>
      <w:pPr>
        <w:spacing w:after="120"/>
      </w:pPr>
      <w:r>
        <w:rPr>
          <w:rFonts w:ascii="Times New Roman" w:hAnsi="Times New Roman"/>
          <w:sz w:val="22"/>
        </w:rPr>
        <w:t>Spectrum sharing is a fundamental concept in cognitive radio systems, enabling multiple heterogeneous networks to coexist while efficiently utilizing shared radio-frequency (RF) spectrum resources that are inherently limited [1]. This paradigm relies on the open and dynamic nature of the radio spectrum, where wireless transmission propagates over inherently shared channels [2]. However, this openness inherently exposes wireless environments to a wide range of disruptions, including both unintentional disturbances and deliberate attacks such as unauthorized transmissions and malicious interference [3].</w:t>
      </w:r>
    </w:p>
    <w:p>
      <w:pPr>
        <w:spacing w:after="120"/>
      </w:pPr>
      <w:r>
        <w:rPr>
          <w:rFonts w:ascii="Times New Roman" w:hAnsi="Times New Roman"/>
          <w:sz w:val="22"/>
        </w:rPr>
        <w:t>Common examples of these adversarial actions include **jamming, sniffing, spoofing**, and the injection of anomalous signals [4]. Among these threats, jamming attacks are especially harmful, as adversaries intentionally transmit disruptive signals to interfere with legitimate communications and distort observed spectrum activity [5]. Such interference reduces the signal-to-interference-plus-noise ratio (SINR), resulting in higher error rates, degraded communication quality, and possible system blockage [6].</w:t>
      </w:r>
    </w:p>
    <w:p>
      <w:pPr>
        <w:spacing w:after="120"/>
      </w:pPr>
      <w:r>
        <w:rPr>
          <w:rFonts w:ascii="Times New Roman" w:hAnsi="Times New Roman"/>
          <w:sz w:val="22"/>
        </w:rPr>
        <w:t>Anomaly detection techniques aim to identify both known and unknown interference by detecting deviations from normal signal behavior [8]. Early conventional methods, such as energy detection, cyclostationarity, and matched filtering [9], rely heavily on expert knowledge. Recent works leverage machine learning (ML) on spectrogram datasets for jamming detection [10], using supervised approaches with labeled data [11], [12] and unsupervised methods such as autoencoders and prediction-based models [13], [14], deep Convolutional Neural Networks (CNN) [15], as well as Generative Adversarial Network (GAN)-based frameworks [16].</w:t>
      </w:r>
    </w:p>
    <w:p>
      <w:pPr>
        <w:spacing w:after="120"/>
      </w:pPr>
      <w:r>
        <w:rPr>
          <w:rFonts w:ascii="Times New Roman" w:hAnsi="Times New Roman"/>
          <w:sz w:val="22"/>
        </w:rPr>
        <w:t>**Quantum Machine Learning (QML)** has emerged at the interface of quantum computing and classical ML, with the goal of exploring whether quantum information processing can enhance the efficiency or performance of learning models [17]. Building on this perspective, QML has also attracted growing interest for anomaly detection in wireless systems, where high-dimensional signal representations and complex interference patterns make efficient feature extraction particularly important [18].</w:t>
      </w:r>
    </w:p>
    <w:p>
      <w:pPr>
        <w:spacing w:after="120"/>
      </w:pPr>
      <w:r>
        <w:rPr>
          <w:rFonts w:ascii="Times New Roman" w:hAnsi="Times New Roman"/>
          <w:sz w:val="22"/>
        </w:rPr>
        <w:t>In particular, **Quantum Kitchen Sinks (QKS)** adapt the classical random kitchen sinks framework of explicit randomized feature maps to quantum circuits, thereby producing finite-dimensional quantum features that can be processed by lightweight classical readouts [19]. QKS is especially attractive for near-term noisy intermediate-scale quantum (NISQ) devices because the quantum circuit acts as a randomized feature generator rather than a fully trainable variational model, while the optimization burden is shifted to a simple classical head [19], [20].</w:t>
      </w:r>
    </w:p>
    <w:p>
      <w:pPr>
        <w:pStyle w:val="Heading3"/>
      </w:pPr>
      <w:r>
        <w:t>Contributions</w:t>
      </w:r>
    </w:p>
    <w:p>
      <w:pPr>
        <w:spacing w:after="120"/>
      </w:pPr>
      <w:r>
        <w:rPr>
          <w:rFonts w:ascii="Times New Roman" w:hAnsi="Times New Roman"/>
          <w:sz w:val="22"/>
        </w:rPr>
        <w:t>1. We construct a labeled spectrogram dataset combining real sub-6 GHz cellular signals with synthetically generated anomalous signals spanning three interference types.</w:t>
      </w:r>
    </w:p>
    <w:p>
      <w:pPr>
        <w:spacing w:after="120"/>
      </w:pPr>
      <w:r>
        <w:rPr>
          <w:rFonts w:ascii="Times New Roman" w:hAnsi="Times New Roman"/>
          <w:sz w:val="22"/>
        </w:rPr>
        <w:t>2. We extend the standard QKS template with **multi-depth data re-uploading and ring entanglement**, preserving a lightweight classical readout stage.</w:t>
      </w:r>
    </w:p>
    <w:p>
      <w:pPr>
        <w:spacing w:after="120"/>
      </w:pPr>
      <w:r>
        <w:rPr>
          <w:rFonts w:ascii="Times New Roman" w:hAnsi="Times New Roman"/>
          <w:sz w:val="22"/>
        </w:rPr>
        <w:t>3. We introduce a **validation-locked, leakage-free five-stage ablation protocol** that separates shallow architecture, depth, episode budget, input representation, and readout effects without touching the test split until the final stage.</w:t>
      </w:r>
    </w:p>
    <w:p>
      <w:pPr>
        <w:spacing w:after="120"/>
      </w:pPr>
      <w:r>
        <w:rPr>
          <w:rFonts w:ascii="Times New Roman" w:hAnsi="Times New Roman"/>
          <w:sz w:val="22"/>
        </w:rPr>
        <w:t>4. DCT representations unlock strong QKS performance, with multi-depth QKS consistently improving over matched baselines across all evaluated readouts on the held-out test set.</w:t>
      </w:r>
    </w:p>
    <w:p>
      <w:pPr>
        <w:spacing w:after="120"/>
      </w:pPr>
      <w:r>
        <w:rPr>
          <w:rFonts w:ascii="Times New Roman" w:hAnsi="Times New Roman"/>
          <w:sz w:val="22"/>
        </w:rPr>
        <w:t>5. Our study bridges two levels of realism by relying on real measured data and by validating the pipeline on the **ibm_quebec** QPU, showing AUROC deviations below **0.013** relative to simulation.</w:t>
      </w:r>
    </w:p>
    <w:p>
      <w:pPr>
        <w:pStyle w:val="Heading3"/>
      </w:pPr>
      <w:r>
        <w:t>References</w:t>
      </w:r>
    </w:p>
    <w:p>
      <w:pPr>
        <w:spacing w:after="120"/>
      </w:pPr>
      <w:r>
        <w:rPr>
          <w:rFonts w:ascii="Times New Roman" w:hAnsi="Times New Roman"/>
          <w:sz w:val="22"/>
        </w:rPr>
        <w:t>[1] X. Jiang et al., "Intelligent Jamming Strategies for Secure Spectrum Sharing Systems," *IEEE Trans. Commun.*, vol. 70, no. 2, pp. 1153–1167, 2022.</w:t>
      </w:r>
    </w:p>
    <w:p>
      <w:pPr>
        <w:spacing w:after="120"/>
      </w:pPr>
      <w:r>
        <w:rPr>
          <w:rFonts w:ascii="Times New Roman" w:hAnsi="Times New Roman"/>
          <w:sz w:val="22"/>
        </w:rPr>
        <w:t>[2] Y. Zou et al., "A Survey on Wireless Security: Technical Challenges, Recent Advances, and Future Trends," *Proc. IEEE*, vol. 104, no. 9, pp. 1727–1765, 2016.</w:t>
      </w:r>
    </w:p>
    <w:p>
      <w:pPr>
        <w:spacing w:after="120"/>
      </w:pPr>
      <w:r>
        <w:rPr>
          <w:rFonts w:ascii="Times New Roman" w:hAnsi="Times New Roman"/>
          <w:sz w:val="22"/>
        </w:rPr>
        <w:t>[3] A. S. Ali et al., "RF Jamming Dataset: A Wireless Spectral Scan Approach for Malicious Interference Detection," *IEEE Commun. Mag.*, vol. 62, no. 11, pp. 114–120, 2024.</w:t>
      </w:r>
    </w:p>
    <w:p>
      <w:pPr>
        <w:spacing w:after="120"/>
      </w:pPr>
      <w:r>
        <w:rPr>
          <w:rFonts w:ascii="Times New Roman" w:hAnsi="Times New Roman"/>
          <w:sz w:val="22"/>
        </w:rPr>
        <w:t>[4] M. Lichtman et al., "LTE/LTE-A Jamming, Spoofing, and Sniffing: Threat Assessment and Mitigation," *IEEE Commun. Mag.*, vol. 54, no. 4, pp. 54–61, 2016.</w:t>
      </w:r>
    </w:p>
    <w:p>
      <w:r>
        <w:br w:type="page"/>
      </w:r>
    </w:p>
    <w:p>
      <w:pPr>
        <w:pStyle w:val="Heading2"/>
      </w:pPr>
      <w:r>
        <w:t>2. Methodology</w:t>
      </w:r>
    </w:p>
    <w:p>
      <w:pPr>
        <w:pStyle w:val="Heading3"/>
      </w:pPr>
      <w:r>
        <w:t>A. Input Representations</w:t>
      </w:r>
    </w:p>
    <w:p>
      <w:pPr>
        <w:spacing w:after="120"/>
      </w:pPr>
      <w:r>
        <w:rPr>
          <w:rFonts w:ascii="Times New Roman" w:hAnsi="Times New Roman"/>
          <w:sz w:val="22"/>
        </w:rPr>
        <w:t>Let x ∈ R^{400×400} denote an RF spectrogram. The QKS pipeline does not operate directly on this matrix, but rather on a vector representation r(x) ∈ R^{d} constructed from it. In this study, we consider three representation families:</w:t>
      </w:r>
    </w:p>
    <w:p>
      <w:pPr>
        <w:spacing w:after="120"/>
      </w:pPr>
      <w:r>
        <w:rPr>
          <w:rFonts w:ascii="Times New Roman" w:hAnsi="Times New Roman"/>
          <w:sz w:val="22"/>
        </w:rPr>
        <w:t>#### 1. Raw Representation (r_raw)</w:t>
      </w:r>
    </w:p>
    <w:p>
      <w:pPr>
        <w:spacing w:after="120"/>
      </w:pPr>
      <w:r>
        <w:rPr>
          <w:rFonts w:ascii="Times New Roman" w:hAnsi="Times New Roman"/>
          <w:sz w:val="22"/>
        </w:rPr>
        <w:t>r_raw(x) = vec(x),</w:t>
      </w:r>
    </w:p>
    <w:p>
      <w:pPr>
        <w:spacing w:after="120"/>
      </w:pPr>
      <w:r>
        <w:rPr>
          <w:rFonts w:ascii="Times New Roman" w:hAnsi="Times New Roman"/>
          <w:sz w:val="22"/>
        </w:rPr>
        <w:t>where vec(·) flattens its matrix argument into a vector. The raw representation retains the full 400×400 spectrogram and flattens it into a vector in R^{160000}.</w:t>
      </w:r>
    </w:p>
    <w:p>
      <w:pPr>
        <w:spacing w:after="120"/>
      </w:pPr>
      <w:r>
        <w:rPr>
          <w:rFonts w:ascii="Times New Roman" w:hAnsi="Times New Roman"/>
          <w:sz w:val="22"/>
        </w:rPr>
        <w:t>#### 2. Discrete Cosine Transform Representation (r_DCT)</w:t>
      </w:r>
    </w:p>
    <w:p>
      <w:pPr>
        <w:spacing w:after="120"/>
      </w:pPr>
      <w:r>
        <w:rPr>
          <w:rFonts w:ascii="Times New Roman" w:hAnsi="Times New Roman"/>
          <w:sz w:val="22"/>
        </w:rPr>
        <w:t>r_DCT(x) = vec(C_{k_f × k_t}(x)),</w:t>
      </w:r>
    </w:p>
    <w:p>
      <w:pPr>
        <w:spacing w:after="120"/>
      </w:pPr>
      <w:r>
        <w:rPr>
          <w:rFonts w:ascii="Times New Roman" w:hAnsi="Times New Roman"/>
          <w:sz w:val="22"/>
        </w:rPr>
        <w:t>where C_{k_f × k_t}(x) denotes the upper-left k_f × k_t coefficient block of the 2-D DCT (type II, with orthonormal normalization) of x, and vec(·) flattens that block. The retained block corresponds to **low-index DCT coefficients** capturing coarse, slowly varying structure over the 2-D spectrogram array along both the frequency-bin axis and the time-bin axis.</w:t>
      </w:r>
    </w:p>
    <w:p>
      <w:pPr>
        <w:spacing w:after="120"/>
      </w:pPr>
      <w:r>
        <w:rPr>
          <w:rFonts w:ascii="Times New Roman" w:hAnsi="Times New Roman"/>
          <w:sz w:val="22"/>
        </w:rPr>
        <w:t>In the benchmark, we use k_f × k_t ∈ {16 × 16, 64 × 64, 128 × 128, 256 × 256}.</w:t>
      </w:r>
    </w:p>
    <w:p>
      <w:pPr>
        <w:spacing w:after="120"/>
      </w:pPr>
      <w:r>
        <w:rPr>
          <w:rFonts w:ascii="Times New Roman" w:hAnsi="Times New Roman"/>
          <w:sz w:val="22"/>
        </w:rPr>
        <w:t>#### 3. Principal Component Analysis Representation (r_PCA)</w:t>
      </w:r>
    </w:p>
    <w:p>
      <w:pPr>
        <w:spacing w:after="120"/>
      </w:pPr>
      <w:r>
        <w:rPr>
          <w:rFonts w:ascii="Times New Roman" w:hAnsi="Times New Roman"/>
          <w:sz w:val="22"/>
        </w:rPr>
        <w:t>r_PCA(x) = P_m vec(x),</w:t>
      </w:r>
    </w:p>
    <w:p>
      <w:pPr>
        <w:spacing w:after="120"/>
      </w:pPr>
      <w:r>
        <w:rPr>
          <w:rFonts w:ascii="Times New Roman" w:hAnsi="Times New Roman"/>
          <w:sz w:val="22"/>
        </w:rPr>
        <w:t>where P_m denotes the projection onto the first m principal directions learned from the training set. The PCA family first flattens the spectrogram and then projects it onto an m-dimensional linear subspace, with m ∈ {32, 128, 256, 512, 2048}.</w:t>
      </w:r>
    </w:p>
    <w:p>
      <w:pPr>
        <w:spacing w:after="120"/>
      </w:pPr>
      <w:r>
        <w:rPr>
          <w:rFonts w:ascii="Times New Roman" w:hAnsi="Times New Roman"/>
          <w:sz w:val="22"/>
        </w:rPr>
        <w:t>**Distinction**: DCT is a fixed transform that explicitly preserves coarse 2-D spectrogram structure, while PCA is a learned linear projection applied to flattened spectrograms and preserves high-variance directions without maintaining the original grid structure in the same explicit way.</w:t>
      </w:r>
    </w:p>
    <w:p>
      <w:pPr>
        <w:pStyle w:val="Heading3"/>
      </w:pPr>
      <w:r>
        <w:t>B. Multi-depth QKS Featurizer</w:t>
      </w:r>
    </w:p>
    <w:p>
      <w:pPr>
        <w:spacing w:after="120"/>
      </w:pPr>
      <w:r>
        <w:rPr>
          <w:rFonts w:ascii="Times New Roman" w:hAnsi="Times New Roman"/>
          <w:sz w:val="22"/>
        </w:rPr>
        <w:t>Given a representation vector r(x) ∈ R^{d}, the QKS featurizer constructs one quantum feature block per episode. In line with the original QKS, multiple episodes are used to map the same input to different randomized quantum states, and each such per-episode state is measured through a fixed observable family to produce a corresponding per-episode feature block.</w:t>
      </w:r>
    </w:p>
    <w:p>
      <w:pPr>
        <w:spacing w:after="120"/>
      </w:pPr>
      <w:r>
        <w:rPr>
          <w:rFonts w:ascii="Times New Roman" w:hAnsi="Times New Roman"/>
          <w:sz w:val="22"/>
        </w:rPr>
        <w:t>For each episode e ∈ {1, ..., E} and layer ℓ ∈ {1, ..., D}, the model samples two affine maps from the representation space to the n input-dependent circuit angles:</w:t>
      </w:r>
    </w:p>
    <w:p>
      <w:pPr>
        <w:spacing w:after="120"/>
      </w:pPr>
      <w:r>
        <w:rPr>
          <w:rFonts w:ascii="Times New Roman" w:hAnsi="Times New Roman"/>
          <w:sz w:val="22"/>
        </w:rPr>
        <w:t>ϕ_{e,ℓ}^X(x) = w_{e,ℓ}^X · r(x) + b_{e,ℓ}^X,</w:t>
      </w:r>
    </w:p>
    <w:p>
      <w:pPr>
        <w:spacing w:after="120"/>
      </w:pPr>
      <w:r>
        <w:rPr>
          <w:rFonts w:ascii="Times New Roman" w:hAnsi="Times New Roman"/>
          <w:sz w:val="22"/>
        </w:rPr>
        <w:t>ϕ_{e,ℓ}^Y(x) = w_{e,ℓ}^Y · r(x) + b_{e,ℓ}^Y,</w:t>
      </w:r>
    </w:p>
    <w:p>
      <w:pPr>
        <w:spacing w:after="120"/>
      </w:pPr>
      <w:r>
        <w:rPr>
          <w:rFonts w:ascii="Times New Roman" w:hAnsi="Times New Roman"/>
          <w:sz w:val="22"/>
        </w:rPr>
        <w:t>where w_{e,ℓ}^X, w_{e,ℓ}^Y ∈ R^{n×d} and b_{e,ℓ}^X, b_{e,ℓ}^Y ∈ R^{n}. Equiv- alently, for each qubit j ∈ {0, ..., n-1}:</w:t>
      </w:r>
    </w:p>
    <w:p>
      <w:pPr>
        <w:spacing w:after="120"/>
      </w:pPr>
      <w:r>
        <w:rPr>
          <w:rFonts w:ascii="Times New Roman" w:hAnsi="Times New Roman"/>
          <w:sz w:val="22"/>
        </w:rPr>
        <w:t>ϕ_{e,ℓ}^X,j(x) = ⟨w_{e,ℓ}^X,j, r(x)⟩ + b_{e,ℓ}^X,j,</w:t>
      </w:r>
    </w:p>
    <w:p>
      <w:pPr>
        <w:spacing w:after="120"/>
      </w:pPr>
      <w:r>
        <w:rPr>
          <w:rFonts w:ascii="Times New Roman" w:hAnsi="Times New Roman"/>
          <w:sz w:val="22"/>
        </w:rPr>
        <w:t>ϕ_{e,ℓ}^Y,j(x) = ⟨w_{e,ℓ}^Y,j, r(x)⟩ + b_{e,ℓ}^Y,j,</w:t>
      </w:r>
    </w:p>
    <w:p>
      <w:pPr>
        <w:spacing w:after="120"/>
      </w:pPr>
      <w:r>
        <w:rPr>
          <w:rFonts w:ascii="Times New Roman" w:hAnsi="Times New Roman"/>
          <w:sz w:val="22"/>
        </w:rPr>
        <w:t>In the completed benchmark, every entry of w_{e,ℓ}^X and w_{e,ℓ}^Y is sampled i.i.d. from N(0, σ²) with σ = 2, and every entry of b_{e,ℓ}^X and b_{e,ℓ}^Y is sampled i.i.d. from U([0, 2π]).</w:t>
      </w:r>
    </w:p>
    <w:p>
      <w:pPr>
        <w:spacing w:after="120"/>
      </w:pPr>
      <w:r>
        <w:rPr>
          <w:rFonts w:ascii="Times New Roman" w:hAnsi="Times New Roman"/>
          <w:sz w:val="22"/>
        </w:rPr>
        <w:t>These angle vectors parameterize a layered circuit template. We define the single-layer data-upload operator as:</w:t>
      </w:r>
    </w:p>
    <w:p>
      <w:pPr>
        <w:spacing w:after="120"/>
      </w:pPr>
      <w:r>
        <w:rPr>
          <w:rFonts w:ascii="Times New Roman" w:hAnsi="Times New Roman"/>
          <w:sz w:val="22"/>
        </w:rPr>
        <w:t>U_{e,ℓ}(x) = Y_{j=0}^{n-1} RY(ϕ_{e,ℓ}^Y,j(x)) · RX(ϕ_{e,ℓ}^X,j(x)),</w:t>
      </w:r>
    </w:p>
    <w:p>
      <w:pPr>
        <w:spacing w:after="120"/>
      </w:pPr>
      <w:r>
        <w:rPr>
          <w:rFonts w:ascii="Times New Roman" w:hAnsi="Times New Roman"/>
          <w:sz w:val="22"/>
        </w:rPr>
        <w:t>and we denote by V_ring either the identity (when entanglement is disabled) or the fixed controlled-Z (CZ) ring (0,1), (1,2), ..., (n-2,n-1), (n-1,0) otherwise. For episode e, the input state |0⟩^{⊗n} is mapped to:</w:t>
      </w:r>
    </w:p>
    <w:tbl>
      <w:tblPr>
        <w:tblStyle w:val="TableGrid"/>
        <w:tblW w:type="auto" w:w="0"/>
        <w:tblLook w:firstColumn="1" w:firstRow="1" w:lastColumn="0" w:lastRow="0" w:noHBand="0" w:noVBand="1" w:val="04A0"/>
      </w:tblPr>
      <w:tblGrid>
        <w:gridCol w:w="4320"/>
        <w:gridCol w:w="4320"/>
      </w:tblGrid>
      <w:tr>
        <w:tc>
          <w:tcPr>
            <w:tcW w:type="dxa" w:w="4320"/>
          </w:tcPr>
          <w:p>
            <w:r>
              <w:t>ψ_e(x)⟩ = U_e(x)</w:t>
            </w:r>
          </w:p>
        </w:tc>
        <w:tc>
          <w:tcPr>
            <w:tcW w:type="dxa" w:w="4320"/>
          </w:tcPr>
          <w:p>
            <w:r>
              <w:t>0⟩^{⊗n},</w:t>
            </w:r>
          </w:p>
        </w:tc>
      </w:tr>
    </w:tbl>
    <w:p>
      <w:pPr>
        <w:spacing w:after="120"/>
      </w:pPr>
      <w:r>
        <w:rPr>
          <w:rFonts w:ascii="Times New Roman" w:hAnsi="Times New Roman"/>
          <w:sz w:val="22"/>
        </w:rPr>
        <w:t>where U_e(x) = U_{e,D}(x) · V_ring · ... · U_{e,2}(x) · V_ring · U_{e,1}(x).</w:t>
      </w:r>
    </w:p>
    <w:p>
      <w:pPr>
        <w:spacing w:after="120"/>
      </w:pPr>
      <w:r>
        <w:rPr>
          <w:rFonts w:ascii="Times New Roman" w:hAnsi="Times New Roman"/>
          <w:sz w:val="22"/>
        </w:rPr>
        <w:t>**Key Insight**: Each episode re-uploads the same classical representation across multiple randomized layers, while entanglement, when enabled, is inserted only between consecutive upload layers, preserving a lightweight per-layer circuit structure while allowing the effective quantum feature map to become richer as depth increases.</w:t>
      </w:r>
    </w:p>
    <w:p>
      <w:pPr>
        <w:pStyle w:val="Heading3"/>
      </w:pPr>
      <w:r>
        <w:t>C. Observable Family</w:t>
      </w:r>
    </w:p>
    <w:p>
      <w:pPr>
        <w:spacing w:after="120"/>
      </w:pPr>
      <w:r>
        <w:rPr>
          <w:rFonts w:ascii="Times New Roman" w:hAnsi="Times New Roman"/>
          <w:sz w:val="22"/>
        </w:rPr>
        <w:t>In our method, the measured observable family is taken to consist of all one- and two-body Pauli observables:</w:t>
      </w:r>
    </w:p>
    <w:p>
      <w:pPr>
        <w:spacing w:after="120"/>
      </w:pPr>
      <w:r>
        <w:rPr>
          <w:rFonts w:ascii="Times New Roman" w:hAnsi="Times New Roman"/>
          <w:sz w:val="22"/>
        </w:rPr>
        <w:t>O_n^Z,ZZ = {σ_a^(i) : 0 ≤ i &lt; n, a ∈ {X, Y, Z}} ∪ {σ_a^(i)σ_b^(j) : 0 ≤ i &lt; j &lt; n, a, b ∈ {X, Y, Z}},</w:t>
      </w:r>
    </w:p>
    <w:p>
      <w:pPr>
        <w:spacing w:after="120"/>
      </w:pPr>
      <w:r>
        <w:rPr>
          <w:rFonts w:ascii="Times New Roman" w:hAnsi="Times New Roman"/>
          <w:sz w:val="22"/>
        </w:rPr>
        <w:t>so that |O_n^Z,ZZ| = 9n^2/2, where the factor 9 comes from the 3×3 possible choices of (a,b) ∈ {X,Y,Z} for each qubit pair (i,j). This observable family captures both single-qubit statistics and pairwise correlations induced by the feature map, while remaining polynomial in n. The per-episode feature block is therefore:</w:t>
      </w:r>
    </w:p>
    <w:p>
      <w:pPr>
        <w:spacing w:after="120"/>
      </w:pPr>
      <w:r>
        <w:rPr>
          <w:rFonts w:ascii="Times New Roman" w:hAnsi="Times New Roman"/>
          <w:sz w:val="22"/>
        </w:rPr>
        <w:t>ξ_e(x) = ½⟨ψ_e(x) | O | ψ_e(x)⟩ ∈ R^{|O_n^Z,ZZ|},</w:t>
      </w:r>
    </w:p>
    <w:p>
      <w:pPr>
        <w:spacing w:after="120"/>
      </w:pPr>
      <w:r>
        <w:rPr>
          <w:rFonts w:ascii="Times New Roman" w:hAnsi="Times New Roman"/>
          <w:sz w:val="22"/>
        </w:rPr>
        <w:t>and the final QKS feature vector is obtained by concatenating all per-episode feature blocks as follows:</w:t>
      </w:r>
    </w:p>
    <w:p>
      <w:pPr>
        <w:spacing w:after="120"/>
      </w:pPr>
      <w:r>
        <w:rPr>
          <w:rFonts w:ascii="Times New Roman" w:hAnsi="Times New Roman"/>
          <w:sz w:val="22"/>
        </w:rPr>
        <w:t>ξ(x) = [ξ_1(x)^T, ..., ξ_E(x)^T]^T ∈ R^{E|O_n^Z,ZZ|}.</w:t>
      </w:r>
    </w:p>
    <w:p>
      <w:pPr>
        <w:pStyle w:val="Heading3"/>
      </w:pPr>
      <w:r>
        <w:t>D. Five-stage Protocol</w:t>
      </w:r>
    </w:p>
    <w:p>
      <w:pPr>
        <w:spacing w:after="120"/>
      </w:pPr>
      <w:r>
        <w:rPr>
          <w:rFonts w:ascii="Times New Roman" w:hAnsi="Times New Roman"/>
          <w:sz w:val="22"/>
        </w:rPr>
        <w:t>The benchmark is designed to disentangle the effects of architecture, depth, depth–episode allocation, input representation, and classical readout, while keeping the raw test split untouched until the final evaluation. Stages 1–4 operate only on a fixed model-selection subset drawn from the raw training split together with a disjoint validation subset. Stage 5 retrains the finalists on the full raw training split and evaluates them once on the untouched raw test split.</w:t>
      </w:r>
    </w:p>
    <w:p>
      <w:pPr>
        <w:spacing w:after="120"/>
      </w:pPr>
      <w:r>
        <w:rPr>
          <w:rFonts w:ascii="Times New Roman" w:hAnsi="Times New Roman"/>
          <w:sz w:val="22"/>
        </w:rPr>
        <w:t>**a) Readouts**: During Stages 1–4, we deliberately use a single fast linear Support Vector Machine (SVM) readout so that model selection remains focused on the quality of the quantum feature map itself, rather than being confounded by a broader comparison of downstream classifiers. In Stage 5, we then compare alternative corresponding readout families, as they probe different aspects of the same QKS feature geometry, and evaluate their performance under a matched setting. Specific readouts include linear SVM, logistic regression, Random Fourier Features (RFF), and Nyström lifts.</w:t>
      </w:r>
    </w:p>
    <w:p>
      <w:pPr>
        <w:spacing w:after="120"/>
      </w:pPr>
      <w:r>
        <w:rPr>
          <w:rFonts w:ascii="Times New Roman" w:hAnsi="Times New Roman"/>
          <w:sz w:val="22"/>
        </w:rPr>
        <w:t>**b) Protocol Overview**:</w:t>
      </w:r>
    </w:p>
    <w:p>
      <w:pPr>
        <w:spacing w:after="120"/>
      </w:pPr>
      <w:r>
        <w:rPr>
          <w:rFonts w:ascii="Times New Roman" w:hAnsi="Times New Roman"/>
          <w:sz w:val="22"/>
        </w:rPr>
        <w:t>1) **Stage 1**: Shallow architecture search. Fix representation to 64×64 DCT, depth to D = 1, and sweep n ∈ {2, 4, 6, 8, 10} qubits, E ∈ {8, 16, 32, 64, 128, 256} episodes, and entanglement on/off.</w:t>
      </w:r>
    </w:p>
    <w:p>
      <w:pPr>
        <w:spacing w:after="120"/>
      </w:pPr>
      <w:r>
        <w:rPr>
          <w:rFonts w:ascii="Times New Roman" w:hAnsi="Times New Roman"/>
          <w:sz w:val="22"/>
        </w:rPr>
        <w:t>2) **Stage 2**: Depth sweep. Take top four Stage 1 configurations and sweep depth D ∈ {1, 2, 4, 6, 8, 10} while keeping Stage 1 hyperparameters fixed.</w:t>
      </w:r>
    </w:p>
    <w:p>
      <w:pPr>
        <w:spacing w:after="120"/>
      </w:pPr>
      <w:r>
        <w:rPr>
          <w:rFonts w:ascii="Times New Roman" w:hAnsi="Times New Roman"/>
          <w:sz w:val="22"/>
        </w:rPr>
        <w:t>3) **Stage 3**: Matched depth–episode trade-off. Replace the Stage 2 winner's (D,E) pair with (1,256), (2,128), (4,64), (8,32) for direct comparison.</w:t>
      </w:r>
    </w:p>
    <w:p>
      <w:pPr>
        <w:spacing w:after="120"/>
      </w:pPr>
      <w:r>
        <w:rPr>
          <w:rFonts w:ascii="Times New Roman" w:hAnsi="Times New Roman"/>
          <w:sz w:val="22"/>
        </w:rPr>
        <w:t>4) **Stage 4**: Representation comparison. Evaluate the two strongest Stage 3 candidates across ten input representations: raw input, four DCT variants, and five PCA variants.</w:t>
      </w:r>
    </w:p>
    <w:p>
      <w:pPr>
        <w:spacing w:after="120"/>
      </w:pPr>
      <w:r>
        <w:rPr>
          <w:rFonts w:ascii="Times New Roman" w:hAnsi="Times New Roman"/>
          <w:sz w:val="22"/>
        </w:rPr>
        <w:t>5) **Stage 5**: Final full dataset benchmark. Compare matched direct-readout baselines and QKS models across the same five readout families on the full training split, report results on held-out test data.</w:t>
      </w:r>
    </w:p>
    <w:p>
      <w:r>
        <w:br w:type="page"/>
      </w:r>
    </w:p>
    <w:p>
      <w:pPr>
        <w:pStyle w:val="Heading2"/>
      </w:pPr>
      <w:r>
        <w:t>3. Experiments &amp; Results</w:t>
      </w:r>
    </w:p>
    <w:p>
      <w:pPr>
        <w:pStyle w:val="Heading3"/>
      </w:pPr>
      <w:r>
        <w:t>A. QKS Pipeline &amp; Ablation Protocol</w:t>
      </w:r>
    </w:p>
    <w:p>
      <w:pPr>
        <w:spacing w:after="120"/>
      </w:pPr>
      <w:r>
        <w:rPr>
          <w:rFonts w:ascii="Times New Roman" w:hAnsi="Times New Roman"/>
          <w:sz w:val="22"/>
        </w:rPr>
        <w:t>We evaluate the QKS pipeline on a controlled RF spectrogram anomaly detection task. To systematically separate the effects of shallow architecture, re-uploading depth, episode budget, input representation, and classical readout, we introduce a **validation-locked, leakage-free five-stage ablation protocol**. The original test set remains untouched until the final stage.</w:t>
      </w:r>
    </w:p>
    <w:p>
      <w:pPr>
        <w:spacing w:after="120"/>
      </w:pPr>
      <w:r>
        <w:rPr>
          <w:rFonts w:ascii="Times New Roman" w:hAnsi="Times New Roman"/>
          <w:sz w:val="22"/>
        </w:rPr>
        <w:t>#### Input Representations</w:t>
      </w:r>
    </w:p>
    <w:p>
      <w:pPr>
        <w:spacing w:after="120"/>
      </w:pPr>
      <w:r>
        <w:rPr>
          <w:rFonts w:ascii="Times New Roman" w:hAnsi="Times New Roman"/>
          <w:sz w:val="22"/>
        </w:rPr>
        <w:t>Let \(x \in \mathbb{R}^{400 \times 400}\) denote an RF spectrogram. The QKS pipeline operates on a vector representation \(r(x) \in \mathbb{R}^d\) constructed from \(x\). We consider three representation families:</w:t>
      </w:r>
    </w:p>
    <w:p>
      <w:pPr>
        <w:spacing w:after="120"/>
      </w:pPr>
      <w:r>
        <w:rPr>
          <w:rFonts w:ascii="Times New Roman" w:hAnsi="Times New Roman"/>
          <w:sz w:val="22"/>
        </w:rPr>
        <w:t>**Raw Representation:**</w:t>
      </w:r>
    </w:p>
    <w:p>
      <w:pPr>
        <w:jc w:val="center"/>
      </w:pPr>
      <w:r>
        <w:rPr>
          <w:i/>
          <w:sz w:val="20"/>
        </w:rPr>
        <w:t>r_{\text{raw}}(x) = \text{vec}(x)</w:t>
      </w:r>
    </w:p>
    <w:p>
      <w:pPr>
        <w:spacing w:after="120"/>
      </w:pPr>
      <w:r>
        <w:rPr>
          <w:rFonts w:ascii="Times New Roman" w:hAnsi="Times New Roman"/>
          <w:sz w:val="22"/>
        </w:rPr>
        <w:t>**DCT Representation:**</w:t>
      </w:r>
    </w:p>
    <w:p>
      <w:pPr>
        <w:jc w:val="center"/>
      </w:pPr>
      <w:r>
        <w:rPr>
          <w:i/>
          <w:sz w:val="20"/>
        </w:rPr>
        <w:t>r_{\text{DCT}}(x) = \text{vec}\left(C_{1:k_f, 1:k_t}(x)\right)</w:t>
      </w:r>
    </w:p>
    <w:p>
      <w:pPr>
        <w:spacing w:after="120"/>
      </w:pPr>
      <w:r>
        <w:rPr>
          <w:rFonts w:ascii="Times New Roman" w:hAnsi="Times New Roman"/>
          <w:sz w:val="22"/>
        </w:rPr>
        <w:t>**PCA Representation:**</w:t>
      </w:r>
    </w:p>
    <w:p>
      <w:pPr>
        <w:jc w:val="center"/>
      </w:pPr>
      <w:r>
        <w:rPr>
          <w:i/>
          <w:sz w:val="20"/>
        </w:rPr>
        <w:t>r_{\text{PCA}}(x) = P_m \text{vec}(x)</w:t>
      </w:r>
    </w:p>
    <w:p>
      <w:pPr>
        <w:spacing w:after="120"/>
      </w:pPr>
      <w:r>
        <w:rPr>
          <w:rFonts w:ascii="Times New Roman" w:hAnsi="Times New Roman"/>
          <w:sz w:val="22"/>
        </w:rPr>
        <w:t>where \(\text{vec}(\cdot)\) flattens a matrix into a vector, \(C_{1:k_f, 1:k_t}(x)\) denotes the upper-left \(k_f \times k_t\) coefficient block of the 2-D DCT (type II, orthonormal normalization), and \(P_m\) denotes the projection onto the first \(m\) principal directions learned from the training set.</w:t>
      </w:r>
    </w:p>
    <w:p>
      <w:pPr>
        <w:spacing w:after="120"/>
      </w:pPr>
      <w:r>
        <w:rPr>
          <w:rFonts w:ascii="Times New Roman" w:hAnsi="Times New Roman"/>
          <w:sz w:val="22"/>
        </w:rPr>
        <w:t>In the benchmark, we use \(k_f \times k_t \in \{16 \times 16, 64 \times 64, 128 \times 128, 256 \times 256\}\) for DCT, and \(m \in \{32, 128, 256, 512, 2048\}\) for PCA.</w:t>
      </w:r>
    </w:p>
    <w:p>
      <w:pPr>
        <w:spacing w:after="120"/>
      </w:pPr>
      <w:r>
        <w:rPr>
          <w:rFonts w:ascii="Times New Roman" w:hAnsi="Times New Roman"/>
          <w:sz w:val="22"/>
        </w:rPr>
        <w:t>#### Multi-depth QKS Featurizer</w:t>
      </w:r>
    </w:p>
    <w:p>
      <w:pPr>
        <w:spacing w:after="120"/>
      </w:pPr>
      <w:r>
        <w:rPr>
          <w:rFonts w:ascii="Times New Roman" w:hAnsi="Times New Roman"/>
          <w:sz w:val="22"/>
        </w:rPr>
        <w:t>Given a representation vector \(r(x) \in \mathbb{R}^d\), the QKS featurizer constructs one quantum feature block per episode. For each episode \(e \in \{1, \ldots, E\}\) and layer \(\ell \in \{1, \ldots, D\}\), the model samples two affine maps:</w:t>
      </w:r>
    </w:p>
    <w:p>
      <w:pPr>
        <w:jc w:val="center"/>
      </w:pPr>
      <w:r>
        <w:rPr>
          <w:i/>
          <w:sz w:val="20"/>
        </w:rPr>
        <w:t>\phi_{X}^{(e,\ell)}(x) = W_{X}^{(e,\ell)} r(x) + b_{X}^{(e,\ell)}</w:t>
      </w:r>
    </w:p>
    <w:p>
      <w:pPr>
        <w:jc w:val="center"/>
      </w:pPr>
      <w:r>
        <w:rPr>
          <w:i/>
          <w:sz w:val="20"/>
        </w:rPr>
        <w:t>\phi_{Y}^{(e,\ell)}(x) = W_{Y}^{(e,\ell)} r(x) + b_{Y}^{(e,\ell)}</w:t>
      </w:r>
    </w:p>
    <w:p>
      <w:pPr>
        <w:spacing w:after="120"/>
      </w:pPr>
      <w:r>
        <w:rPr>
          <w:rFonts w:ascii="Times New Roman" w:hAnsi="Times New Roman"/>
          <w:sz w:val="22"/>
        </w:rPr>
        <w:t>where \(W_{X}^{(e,\ell)}, W_{Y}^{(e,\ell)} \in \mathbb{R}^{n \times d}\) and \(b_{X}^{(e,\ell)}, b_{Y}^{(e,\ell)} \in \mathbb{R}^n\). Each entry is sampled i.i.d. from \(\mathcal{N}(0, \sigma^2)\) with \(\sigma = 2\) for weights, and from \(\mathcal{U}([0, 2\pi])\) for biases.</w:t>
      </w:r>
    </w:p>
    <w:p>
      <w:pPr>
        <w:spacing w:after="120"/>
      </w:pPr>
      <w:r>
        <w:rPr>
          <w:rFonts w:ascii="Times New Roman" w:hAnsi="Times New Roman"/>
          <w:sz w:val="22"/>
        </w:rPr>
        <w:t>The single-layer data-upload operator is:</w:t>
      </w:r>
    </w:p>
    <w:p>
      <w:pPr>
        <w:jc w:val="center"/>
      </w:pPr>
      <w:r>
        <w:rPr>
          <w:i/>
          <w:sz w:val="20"/>
        </w:rPr>
        <w:t>U_{e,\ell}(x) = \prod_{j=0}^{n-1} RY\left(\phi_{Y,j}^{(e,\ell)}(x)\right) RX\left(\phi_{X,j}^{(e,\ell)}(x)\right)</w:t>
      </w:r>
    </w:p>
    <w:p>
      <w:pPr>
        <w:spacing w:after="120"/>
      </w:pPr>
      <w:r>
        <w:rPr>
          <w:rFonts w:ascii="Times New Roman" w:hAnsi="Times New Roman"/>
          <w:sz w:val="22"/>
        </w:rPr>
        <w:t>Let \(V_{\text{ring}}\) be the identity (when entanglement is disabled) or the controlled-Z (CZ) ring \((0,1), (1,2), \ldots, (n-2,n-1), (n-1,0)\) (otherwise). For episode \(e\):</w:t>
      </w:r>
    </w:p>
    <w:p>
      <w:pPr>
        <w:jc w:val="center"/>
      </w:pPr>
      <w:r>
        <w:rPr>
          <w:i/>
          <w:sz w:val="20"/>
        </w:rPr>
        <w:t>|\psi_e(x)\rangle = U_e(x)|0\rangle^{\otimes n}</w:t>
      </w:r>
    </w:p>
    <w:p>
      <w:pPr>
        <w:spacing w:after="120"/>
      </w:pPr>
      <w:r>
        <w:rPr>
          <w:rFonts w:ascii="Times New Roman" w:hAnsi="Times New Roman"/>
          <w:sz w:val="22"/>
        </w:rPr>
        <w:t>where:</w:t>
      </w:r>
    </w:p>
    <w:p>
      <w:pPr>
        <w:jc w:val="center"/>
      </w:pPr>
      <w:r>
        <w:rPr>
          <w:i/>
          <w:sz w:val="20"/>
        </w:rPr>
        <w:t>U_e(x) = U_{e,D}(x) V_{\text{ring}} \cdots U_{e,2}(x) V_{\text{ring}} U_{e,1}(x)</w:t>
      </w:r>
    </w:p>
    <w:p>
      <w:pPr>
        <w:spacing w:after="120"/>
      </w:pPr>
      <w:r>
        <w:rPr>
          <w:rFonts w:ascii="Times New Roman" w:hAnsi="Times New Roman"/>
          <w:sz w:val="22"/>
        </w:rPr>
        <w:t>The observable family is the set of all single-qubit and two-qubit Pauli observables:</w:t>
      </w:r>
    </w:p>
    <w:p>
      <w:pPr>
        <w:jc w:val="center"/>
      </w:pPr>
      <w:r>
        <w:rPr>
          <w:i/>
          <w:sz w:val="20"/>
        </w:rPr>
        <w:t>\mathcal{O}_n = \bigcup_{0 \leq i &lt; n, a \in \{X,Y,Z\}} \{\sigma_a^{(i)}\} \cup \bigcup_{0 \leq i &lt; j &lt; n, a,b \in \{X,Y,Z\}} \{\sigma_a^{(i)} \sigma_b^{(j)}\}</w:t>
      </w:r>
    </w:p>
    <w:p>
      <w:pPr>
        <w:spacing w:after="120"/>
      </w:pPr>
      <w:r>
        <w:rPr>
          <w:rFonts w:ascii="Times New Roman" w:hAnsi="Times New Roman"/>
          <w:sz w:val="22"/>
        </w:rPr>
        <w:t>Thus \(|\mathcal{O}_n| = 9\binom{n}{2} + 3n\). The per-episode feature block is:</w:t>
      </w:r>
    </w:p>
    <w:p>
      <w:pPr>
        <w:jc w:val="center"/>
      </w:pPr>
      <w:r>
        <w:rPr>
          <w:i/>
          <w:sz w:val="20"/>
        </w:rPr>
        <w:t>\xi_e(x) = \left[\langle \psi_e(x)|O|\psi_e(x)\rangle\right]_{O \in \mathcal{O}_n} \in \mathbb{R}^{|\mathcal{O}_n|}</w:t>
      </w:r>
    </w:p>
    <w:p>
      <w:pPr>
        <w:spacing w:after="120"/>
      </w:pPr>
      <w:r>
        <w:rPr>
          <w:rFonts w:ascii="Times New Roman" w:hAnsi="Times New Roman"/>
          <w:sz w:val="22"/>
        </w:rPr>
        <w:t>The final QKS feature vector is:</w:t>
      </w:r>
    </w:p>
    <w:p>
      <w:pPr>
        <w:jc w:val="center"/>
      </w:pPr>
      <w:r>
        <w:rPr>
          <w:i/>
          <w:sz w:val="20"/>
        </w:rPr>
        <w:t>\xi(x) = [\xi_1(x)^\top, \ldots, \xi_E(x)^\top]^\top \in \mathbb{R}^{E|\mathcal{O}_n|}</w:t>
      </w:r>
    </w:p>
    <w:p>
      <w:pPr>
        <w:spacing w:after="120"/>
      </w:pPr>
      <w:r>
        <w:rPr>
          <w:rFonts w:ascii="Times New Roman" w:hAnsi="Times New Roman"/>
          <w:sz w:val="22"/>
        </w:rPr>
        <w:t>#### Five-Stage Ablation Protocol</w:t>
      </w:r>
    </w:p>
    <w:p>
      <w:pPr>
        <w:spacing w:after="120"/>
      </w:pPr>
      <w:r>
        <w:rPr>
          <w:rFonts w:ascii="Times New Roman" w:hAnsi="Times New Roman"/>
          <w:sz w:val="22"/>
        </w:rPr>
        <w:t>The benchmark disentangles architecture, depth, depth-episode allocation, input representation, and final readout layer, while keeping the original test set untouched until the final stage. Stages 1–4 operate on a fixed model-selection subset and a disjoint validation subset drawn from the original training split. Stage 5 retrains finalists on the full original training split and evaluates them once on the untouched original test split.</w:t>
      </w:r>
    </w:p>
    <w:tbl>
      <w:tblPr>
        <w:tblStyle w:val="TableGrid"/>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Focus</w:t>
            </w:r>
          </w:p>
        </w:tc>
        <w:tc>
          <w:tcPr>
            <w:tcW w:type="dxa" w:w="2880"/>
          </w:tcPr>
          <w:p>
            <w:r>
              <w:t>Configurations</w:t>
            </w:r>
          </w:p>
        </w:tc>
      </w:tr>
      <w:tr>
        <w:tc>
          <w:tcPr>
            <w:tcW w:type="dxa" w:w="2880"/>
          </w:tcPr>
          <w:p>
            <w:r>
              <w:t>1</w:t>
            </w:r>
          </w:p>
        </w:tc>
        <w:tc>
          <w:tcPr>
            <w:tcW w:type="dxa" w:w="2880"/>
          </w:tcPr>
          <w:p>
            <w:r>
              <w:t>Shallow architecture search</w:t>
            </w:r>
          </w:p>
        </w:tc>
        <w:tc>
          <w:tcPr>
            <w:tcW w:type="dxa" w:w="2880"/>
          </w:tcPr>
          <w:p>
            <w:r>
              <w:t>$n \in \{2,4,6,8,10\}$, $E \in \{8,16,32,64,128,256\}$, entanglement on/off</w:t>
            </w:r>
          </w:p>
        </w:tc>
      </w:tr>
      <w:tr>
        <w:tc>
          <w:tcPr>
            <w:tcW w:type="dxa" w:w="2880"/>
          </w:tcPr>
          <w:p>
            <w:r>
              <w:t>2</w:t>
            </w:r>
          </w:p>
        </w:tc>
        <w:tc>
          <w:tcPr>
            <w:tcW w:type="dxa" w:w="2880"/>
          </w:tcPr>
          <w:p>
            <w:r>
              <w:t>Depth scan</w:t>
            </w:r>
          </w:p>
        </w:tc>
        <w:tc>
          <w:tcPr>
            <w:tcW w:type="dxa" w:w="2880"/>
          </w:tcPr>
          <w:p>
            <w:r>
              <w:t>$D \in \{1,2,4,6,8,10\}$ on top-4 Stage 1 configs</w:t>
            </w:r>
          </w:p>
        </w:tc>
      </w:tr>
      <w:tr>
        <w:tc>
          <w:tcPr>
            <w:tcW w:type="dxa" w:w="2880"/>
          </w:tcPr>
          <w:p>
            <w:r>
              <w:t>3</w:t>
            </w:r>
          </w:p>
        </w:tc>
        <w:tc>
          <w:tcPr>
            <w:tcW w:type="dxa" w:w="2880"/>
          </w:tcPr>
          <w:p>
            <w:r>
              <w:t>Depth-episode trade-off</w:t>
            </w:r>
          </w:p>
        </w:tc>
        <w:tc>
          <w:tcPr>
            <w:tcW w:type="dxa" w:w="2880"/>
          </w:tcPr>
          <w:p>
            <w:r>
              <w:t>$(D,E) \in \{(1,256),(2,128),(4,64),(8,32)\}$ with $D \times E = 256$</w:t>
            </w:r>
          </w:p>
        </w:tc>
      </w:tr>
      <w:tr>
        <w:tc>
          <w:tcPr>
            <w:tcW w:type="dxa" w:w="2880"/>
          </w:tcPr>
          <w:p>
            <w:r>
              <w:t>4</w:t>
            </w:r>
          </w:p>
        </w:tc>
        <w:tc>
          <w:tcPr>
            <w:tcW w:type="dxa" w:w="2880"/>
          </w:tcPr>
          <w:p>
            <w:r>
              <w:t>Representation comparison</w:t>
            </w:r>
          </w:p>
        </w:tc>
        <w:tc>
          <w:tcPr>
            <w:tcW w:type="dxa" w:w="2880"/>
          </w:tcPr>
          <w:p>
            <w:r>
              <w:t>Raw, 4 DCT variants, 5 PCA variants on top Stage 3 candidates</w:t>
            </w:r>
          </w:p>
        </w:tc>
      </w:tr>
      <w:tr>
        <w:tc>
          <w:tcPr>
            <w:tcW w:type="dxa" w:w="2880"/>
          </w:tcPr>
          <w:p>
            <w:r>
              <w:t>5</w:t>
            </w:r>
          </w:p>
        </w:tc>
        <w:tc>
          <w:tcPr>
            <w:tcW w:type="dxa" w:w="2880"/>
          </w:tcPr>
          <w:p>
            <w:r>
              <w:t>Final full-dataset benchmark</w:t>
            </w:r>
          </w:p>
        </w:tc>
        <w:tc>
          <w:tcPr>
            <w:tcW w:type="dxa" w:w="2880"/>
          </w:tcPr>
          <w:p>
            <w:r>
              <w:t>5 readout families on held-out test set</w:t>
            </w:r>
          </w:p>
        </w:tc>
      </w:tr>
    </w:tbl>
    <w:p>
      <w:pPr>
        <w:spacing w:after="120"/>
      </w:pPr>
      <w:r>
        <w:rPr>
          <w:rFonts w:ascii="Times New Roman" w:hAnsi="Times New Roman"/>
          <w:sz w:val="22"/>
        </w:rPr>
        <w:t>In Stages 1–4, we deliberately use a single fast Linear SVM readout so that model selection focuses on the quality of the quantum feature map itself. In Stage 5, we compare five matched readout families: Linear SVM, Logistic Regression, Random Fourier Features (RFF), and Nyström.</w:t>
      </w:r>
    </w:p>
    <w:p>
      <w:pPr>
        <w:spacing w:after="120"/>
      </w:pPr>
      <w:r>
        <w:rPr>
          <w:rFonts w:ascii="Times New Roman" w:hAnsi="Times New Roman"/>
          <w:sz w:val="22"/>
        </w:rPr>
        <w:t>---</w:t>
      </w:r>
    </w:p>
    <w:p>
      <w:pPr>
        <w:pStyle w:val="Heading3"/>
      </w:pPr>
      <w:r>
        <w:t>B. Ablation Study Results</w:t>
      </w:r>
    </w:p>
    <w:p>
      <w:pPr>
        <w:spacing w:after="120"/>
      </w:pPr>
      <w:r>
        <w:rPr>
          <w:rFonts w:ascii="Times New Roman" w:hAnsi="Times New Roman"/>
          <w:sz w:val="22"/>
        </w:rPr>
        <w:t>#### Stage 1: Shallow Architecture Search</w:t>
      </w:r>
    </w:p>
    <w:p>
      <w:pPr>
        <w:spacing w:after="120"/>
      </w:pPr>
      <w:r>
        <w:rPr>
          <w:rFonts w:ascii="Times New Roman" w:hAnsi="Times New Roman"/>
          <w:sz w:val="22"/>
        </w:rPr>
        <w:t>On the fixed \(64 \times 64\) DCT representation with \(D=1\), the best shallow model uses 10 qubits, 256 episodes, depth 1, and entanglement, reaching validation AUROC of **0.828** and validation F1 of **0.749**. The second-best alternative is an 8-qubit, 64-episode non-entangled configuration (0.826 AUROC, 0.729 F1).</w:t>
      </w:r>
    </w:p>
    <w:p>
      <w:pPr>
        <w:spacing w:after="120"/>
      </w:pPr>
      <w:r>
        <w:rPr>
          <w:rFonts w:ascii="Times New Roman" w:hAnsi="Times New Roman"/>
          <w:sz w:val="22"/>
        </w:rPr>
        <w:t>Entangled configurations concentrate in a relatively compact high-performance region, while non-entangled configurations exhibit a flatter, less structured landscape with more sporadic improvements. This indicates that increasing the size of the random feature map does not necessarily translate to better performance; moderate configurations are sufficient to capture most of the discriminative structure.</w:t>
      </w:r>
    </w:p>
    <w:p>
      <w:pPr>
        <w:spacing w:after="120"/>
      </w:pPr>
      <w:r>
        <w:rPr>
          <w:rFonts w:ascii="Times New Roman" w:hAnsi="Times New Roman"/>
          <w:sz w:val="22"/>
        </w:rPr>
        <w:t>#### Stage 2: Depth Scan</w:t>
      </w:r>
    </w:p>
    <w:p>
      <w:pPr>
        <w:spacing w:after="120"/>
      </w:pPr>
      <w:r>
        <w:rPr>
          <w:rFonts w:ascii="Times New Roman" w:hAnsi="Times New Roman"/>
          <w:sz w:val="22"/>
        </w:rPr>
        <w:t>Depth substantially improves performance once a strong shallow backbone is identified. The best Stage 2 model uses 10 qubits, 256 episodes, depth 4, and entanglement, reaching **0.8502** validation AUROC and **0.7718** validation F1. Moving from depth 1 to depth 4 improves validation AUROC from 0.8282 to 0.8502 and validation F1 from 0.7494 to 0.7718.</w:t>
      </w:r>
    </w:p>
    <w:p>
      <w:pPr>
        <w:spacing w:after="120"/>
      </w:pPr>
      <w:r>
        <w:rPr>
          <w:rFonts w:ascii="Times New Roman" w:hAnsi="Times New Roman"/>
          <w:sz w:val="22"/>
        </w:rPr>
        <w:t>Depth trends are non-monotonic across the four shortlisted backbones: each curve improves after adding some re-uploading, but the strongest entangled \(q=10, E=256\) configuration peaks at depth 4 and then degrades. This behavior is consistent with repeated data re-uploading: it enriches nonlinear feature mapping within moderate depths, after which additional layers increasingly randomize or dilute task-relevant structure relative to the fixed linear readout.</w:t>
      </w:r>
    </w:p>
    <w:p>
      <w:pPr>
        <w:spacing w:after="120"/>
      </w:pPr>
      <w:r>
        <w:rPr>
          <w:rFonts w:ascii="Times New Roman" w:hAnsi="Times New Roman"/>
          <w:sz w:val="22"/>
        </w:rPr>
        <w:t>Entanglement consistently appears in the strongest configurations, indicating that inter-qubit interactions provide useful additional structure beyond independent single-qubit transformations.</w:t>
      </w:r>
    </w:p>
    <w:p>
      <w:pPr>
        <w:spacing w:after="120"/>
      </w:pPr>
      <w:r>
        <w:rPr>
          <w:rFonts w:ascii="Times New Roman" w:hAnsi="Times New Roman"/>
          <w:sz w:val="22"/>
        </w:rPr>
        <w:t>#### Stage 3: Depth-Episode Trade-off</w:t>
      </w:r>
    </w:p>
    <w:p>
      <w:pPr>
        <w:spacing w:after="120"/>
      </w:pPr>
      <w:r>
        <w:rPr>
          <w:rFonts w:ascii="Times New Roman" w:hAnsi="Times New Roman"/>
          <w:sz w:val="22"/>
        </w:rPr>
        <w:t>Stage 3 introduces a fixed-budget comparison where the nominal product \(D \times E = 256\) is held constant while the budget is reallocated between circuit depth and episode count. The strongest candidate is the 10-qubit, 64-episode, depth 4 model with validation AUROC of **0.8482** and validation F1 of **0.7649**. The 10-qubit, 128-episode, depth 2 alternative is competitive at 0.8397 AUROC and 0.7531 F1, while the shallow \((D,E)=(1,256)\) and deep \((D,E)=(8,32)\) endpoints are weaker.</w:t>
      </w:r>
    </w:p>
    <w:p>
      <w:pPr>
        <w:spacing w:after="120"/>
      </w:pPr>
      <w:r>
        <w:rPr>
          <w:rFonts w:ascii="Times New Roman" w:hAnsi="Times New Roman"/>
          <w:sz w:val="22"/>
        </w:rPr>
        <w:t>#### Stage 4: Representation Comparison</w:t>
      </w:r>
    </w:p>
    <w:p>
      <w:pPr>
        <w:spacing w:after="120"/>
      </w:pPr>
      <w:r>
        <w:rPr>
          <w:rFonts w:ascii="Times New Roman" w:hAnsi="Times New Roman"/>
          <w:sz w:val="22"/>
        </w:rPr>
        <w:t>When the two strongest Stage 3 QKS candidates are evaluated across all ten input representations, the DCT family clearly dominates. The three strongest advancing representations are `dct128x128`, `dct64x64`, and `dct256x256`; their best QKS configurations all stay in the entangled 10-qubit regime. The best non-DCT contender, `pca32`, reaches only **0.5262** validation AUROC, far below the DCT advancement threshold.</w:t>
      </w:r>
    </w:p>
    <w:p>
      <w:pPr>
        <w:spacing w:after="120"/>
      </w:pPr>
      <w:r>
        <w:rPr>
          <w:rFonts w:ascii="Times New Roman" w:hAnsi="Times New Roman"/>
          <w:sz w:val="22"/>
        </w:rPr>
        <w:t>This result does not support representation-agnostic QKS gains; instead, it identifies a DCT-dominated regime where structurally preserved classical preprocessing remains an effective part of the hybrid model. The DCT advantage is consistent with the idea that anomaly signatures are organized on the time-frequency plane, and are therefore better preserved by low-index DCT coefficients than by raw flattened inputs or PCA directions learned from global variance.</w:t>
      </w:r>
    </w:p>
    <w:p>
      <w:pPr>
        <w:spacing w:after="120"/>
      </w:pPr>
      <w:r>
        <w:rPr>
          <w:rFonts w:ascii="Times New Roman" w:hAnsi="Times New Roman"/>
          <w:sz w:val="22"/>
        </w:rPr>
        <w:t>---</w:t>
      </w:r>
    </w:p>
    <w:p>
      <w:pPr>
        <w:pStyle w:val="Heading3"/>
      </w:pPr>
      <w:r>
        <w:t>C. Final Full-Dataset Benchmark</w:t>
      </w:r>
    </w:p>
    <w:p>
      <w:pPr>
        <w:spacing w:after="120"/>
      </w:pPr>
      <w:r>
        <w:rPr>
          <w:rFonts w:ascii="Times New Roman" w:hAnsi="Times New Roman"/>
          <w:sz w:val="22"/>
        </w:rPr>
        <w:t>Stage 5 retrains the Stage 4 finalists on the full original training split and evaluates them once on the held-out original test split. Among 15 final representation-readout comparisons, the highest test AUROC of **0.8778** (test F1: 0.7938) is achieved by `dct64x64 + LinearSvm`. The highest test F1 of **0.0.7995** (test AUROC: 0.8716) is achieved by `dct64x64 + LinearLogistic`.</w:t>
      </w:r>
    </w:p>
    <w:p>
      <w:pPr>
        <w:spacing w:after="120"/>
      </w:pPr>
      <w:r>
        <w:rPr>
          <w:rFonts w:ascii="Times New Roman" w:hAnsi="Times New Roman"/>
          <w:sz w:val="22"/>
        </w:rPr>
        <w:t>Three key patterns emerge:</w:t>
      </w:r>
    </w:p>
    <w:p>
      <w:pPr>
        <w:spacing w:after="120"/>
      </w:pPr>
      <w:r>
        <w:rPr>
          <w:rFonts w:ascii="Times New Roman" w:hAnsi="Times New Roman"/>
          <w:sz w:val="22"/>
        </w:rPr>
        <w:t>1. **Systematic QKS improvement**: All 15 rows place the QKS pipeline above its matched direct-readout baseline. The observed AUROC gains are systematic across all evaluated representation-readout pairs, indicating that QKS mapping consistently reshapes shortlisted DCT inputs into a more discriminative geometry than the matched direct-readout pipeline.</w:t>
      </w:r>
    </w:p>
    <w:p>
      <w:pPr>
        <w:spacing w:after="120"/>
      </w:pPr>
      <w:r>
        <w:rPr>
          <w:rFonts w:ascii="Times New Roman" w:hAnsi="Times New Roman"/>
          <w:sz w:val="22"/>
        </w:rPr>
        <w:t>2. **Largest gains at linear readout**: Reported \(\Delta\)AUROC and \(\Delta\)F1 (quantifying the difference between QKS and direct-readout baseline scores) show maximum gains at linear readout. Among the six linear rows, AUROC gains range from +0.0952 to +0.1839, with the largest gap achieved by `dct64x64 + LinearSvm`. Approximate kernel readouts also improve, but their AUROC gains are noticeably smaller. This indicates that most of the benefit is already realized at the level of linear separability, leaving less residual structure for the approximate kernel head to recover.</w:t>
      </w:r>
    </w:p>
    <w:p>
      <w:pPr>
        <w:spacing w:after="120"/>
      </w:pPr>
      <w:r>
        <w:rPr>
          <w:rFonts w:ascii="Times New Roman" w:hAnsi="Times New Roman"/>
          <w:sz w:val="22"/>
        </w:rPr>
        <w:t>3. **QKS as a representation enhancer**: The fact that the strongest gains appear at the simplest linear readout indicates that QKS mapping makes the shortlisted DCT representation more linearly separable on the test split, rather than merely adding redundancy that only richer nonlinear heads can exploit.</w:t>
      </w:r>
    </w:p>
    <w:p>
      <w:pPr>
        <w:pStyle w:val="Heading3"/>
      </w:pPr>
      <w:r>
        <w:t>D. Real Quantum Hardware Validation</w:t>
      </w:r>
    </w:p>
    <w:p>
      <w:pPr>
        <w:spacing w:after="120"/>
      </w:pPr>
      <w:r>
        <w:rPr>
          <w:rFonts w:ascii="Times New Roman" w:hAnsi="Times New Roman"/>
          <w:sz w:val="22"/>
        </w:rPr>
        <w:t>To assess the realism of the computing side, we conducted a concentrated validation on real quantum hardware. Due to the cost of real-device execution, all hardware experiments used a 4-qubit entangled feature map, single-layer depth (\(D=1\)), and 32 episodes, with each circuit's expectation values estimated from 4096 samples. Experiments ran from March 25–29, 2026, on the **ibm_quebec** QPU, using the `dct128x128` representation.</w:t>
      </w:r>
    </w:p>
    <w:p>
      <w:pPr>
        <w:spacing w:after="120"/>
      </w:pPr>
      <w:r>
        <w:rPr>
          <w:rFonts w:ascii="Times New Roman" w:hAnsi="Times New Roman"/>
          <w:sz w:val="22"/>
        </w:rPr>
        <w:t>Compared to the full simulation study, the measured observable family was restricted to all single-qubit \(Z\) observables and pairwise \(ZZ\) observables:</w:t>
      </w:r>
    </w:p>
    <w:p>
      <w:pPr>
        <w:jc w:val="center"/>
      </w:pPr>
      <w:r>
        <w:rPr>
          <w:i/>
          <w:sz w:val="20"/>
        </w:rPr>
        <w:t>\mathcal{O}_n^{(Z,ZZ)} = \{\sigma_Z^{(i)}\}_{i=0}^{n-1} \cup \{\sigma_Z^{(i)} \sigma_Z^{(j)}\}_{0 \leq i &lt; j &lt; n}</w:t>
      </w:r>
    </w:p>
    <w:p>
      <w:pPr>
        <w:spacing w:after="120"/>
      </w:pPr>
      <w:r>
        <w:rPr>
          <w:rFonts w:ascii="Times New Roman" w:hAnsi="Times New Roman"/>
          <w:sz w:val="22"/>
        </w:rPr>
        <w:t>Thus \(|\mathcal{O}_n^{(Z,ZZ)}| = \frac{n(n+1)}{2}\), instead of the full single- and two-qubit Pauli family used in simulation. Additionally, the dataset size was reduced to approximately 10% of the original training and test sets. The search space was deliberately constrained to stay within the available quantum budget and to limit the practical overhead associated with queue times and repeated hardware calls. Therefore, this experiment is not intended to reproduce the full simulation study, but rather to assess whether the learned representation retains meaningful predictive structure when executed on a real superconducting quantum processor.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Readout</w:t>
            </w:r>
          </w:p>
        </w:tc>
        <w:tc>
          <w:tcPr>
            <w:tcW w:type="dxa" w:w="1234"/>
          </w:tcPr>
          <w:p>
            <w:r>
              <w:t>Sim AUROC</w:t>
            </w:r>
          </w:p>
        </w:tc>
        <w:tc>
          <w:tcPr>
            <w:tcW w:type="dxa" w:w="1234"/>
          </w:tcPr>
          <w:p>
            <w:r>
              <w:t>QPU AUROC</w:t>
            </w:r>
          </w:p>
        </w:tc>
        <w:tc>
          <w:tcPr>
            <w:tcW w:type="dxa" w:w="1234"/>
          </w:tcPr>
          <w:p>
            <w:r>
              <w:t>$\Delta_{HS}^{AUROC}$</w:t>
            </w:r>
          </w:p>
        </w:tc>
        <w:tc>
          <w:tcPr>
            <w:tcW w:type="dxa" w:w="1234"/>
          </w:tcPr>
          <w:p>
            <w:r>
              <w:t>Sim F1</w:t>
            </w:r>
          </w:p>
        </w:tc>
        <w:tc>
          <w:tcPr>
            <w:tcW w:type="dxa" w:w="1234"/>
          </w:tcPr>
          <w:p>
            <w:r>
              <w:t>QPU F1</w:t>
            </w:r>
          </w:p>
        </w:tc>
        <w:tc>
          <w:tcPr>
            <w:tcW w:type="dxa" w:w="1234"/>
          </w:tcPr>
          <w:p>
            <w:r>
              <w:t>$\Delta_{HS}^{F1}$</w:t>
            </w:r>
          </w:p>
        </w:tc>
      </w:tr>
      <w:tr>
        <w:tc>
          <w:tcPr>
            <w:tcW w:type="dxa" w:w="1234"/>
          </w:tcPr>
          <w:p>
            <w:r>
              <w:t>LinearSvm</w:t>
            </w:r>
          </w:p>
        </w:tc>
        <w:tc>
          <w:tcPr>
            <w:tcW w:type="dxa" w:w="1234"/>
          </w:tcPr>
          <w:p>
            <w:r>
              <w:t>0.8485</w:t>
            </w:r>
          </w:p>
        </w:tc>
        <w:tc>
          <w:tcPr>
            <w:tcW w:type="dxa" w:w="1234"/>
          </w:tcPr>
          <w:p>
            <w:r>
              <w:t>0.8352</w:t>
            </w:r>
          </w:p>
        </w:tc>
        <w:tc>
          <w:tcPr>
            <w:tcW w:type="dxa" w:w="1234"/>
          </w:tcPr>
          <w:p>
            <w:r>
              <w:t>$-1.281 \times 10^{-2}$</w:t>
            </w:r>
          </w:p>
        </w:tc>
        <w:tc>
          <w:tcPr>
            <w:tcW w:type="dxa" w:w="1234"/>
          </w:tcPr>
          <w:p>
            <w:r>
              <w:t>0.7503</w:t>
            </w:r>
          </w:p>
        </w:tc>
        <w:tc>
          <w:tcPr>
            <w:tcW w:type="dxa" w:w="1234"/>
          </w:tcPr>
          <w:p>
            <w:r>
              <w:t>0.7241</w:t>
            </w:r>
          </w:p>
        </w:tc>
        <w:tc>
          <w:tcPr>
            <w:tcW w:type="dxa" w:w="1234"/>
          </w:tcPr>
          <w:p>
            <w:r>
              <w:t>$-2.617 \times 10^{-2}$</w:t>
            </w:r>
          </w:p>
        </w:tc>
      </w:tr>
      <w:tr>
        <w:tc>
          <w:tcPr>
            <w:tcW w:type="dxa" w:w="1234"/>
          </w:tcPr>
          <w:p>
            <w:r>
              <w:t>LinearLogistic</w:t>
            </w:r>
          </w:p>
        </w:tc>
        <w:tc>
          <w:tcPr>
            <w:tcW w:type="dxa" w:w="1234"/>
          </w:tcPr>
          <w:p>
            <w:r>
              <w:t>0.8419</w:t>
            </w:r>
          </w:p>
        </w:tc>
        <w:tc>
          <w:tcPr>
            <w:tcW w:type="dxa" w:w="1234"/>
          </w:tcPr>
          <w:p>
            <w:r>
              <w:t>0.8432</w:t>
            </w:r>
          </w:p>
        </w:tc>
        <w:tc>
          <w:tcPr>
            <w:tcW w:type="dxa" w:w="1234"/>
          </w:tcPr>
          <w:p>
            <w:r>
              <w:t>$+1.289 \times 10^{-3}$</w:t>
            </w:r>
          </w:p>
        </w:tc>
        <w:tc>
          <w:tcPr>
            <w:tcW w:type="dxa" w:w="1234"/>
          </w:tcPr>
          <w:p>
            <w:r>
              <w:t>0.7558</w:t>
            </w:r>
          </w:p>
        </w:tc>
        <w:tc>
          <w:tcPr>
            <w:tcW w:type="dxa" w:w="1234"/>
          </w:tcPr>
          <w:p>
            <w:r>
              <w:t>0.7421</w:t>
            </w:r>
          </w:p>
        </w:tc>
        <w:tc>
          <w:tcPr>
            <w:tcW w:type="dxa" w:w="1234"/>
          </w:tcPr>
          <w:p>
            <w:r>
              <w:t>$-1.371 \times 10^{-2}$</w:t>
            </w:r>
          </w:p>
        </w:tc>
      </w:tr>
      <w:tr>
        <w:tc>
          <w:tcPr>
            <w:tcW w:type="dxa" w:w="1234"/>
          </w:tcPr>
          <w:p>
            <w:r>
              <w:t>RffSvm</w:t>
            </w:r>
          </w:p>
        </w:tc>
        <w:tc>
          <w:tcPr>
            <w:tcW w:type="dxa" w:w="1234"/>
          </w:tcPr>
          <w:p>
            <w:r>
              <w:t>0.8224</w:t>
            </w:r>
          </w:p>
        </w:tc>
        <w:tc>
          <w:tcPr>
            <w:tcW w:type="dxa" w:w="1234"/>
          </w:tcPr>
          <w:p>
            <w:r>
              <w:t>0.8266</w:t>
            </w:r>
          </w:p>
        </w:tc>
        <w:tc>
          <w:tcPr>
            <w:tcW w:type="dxa" w:w="1234"/>
          </w:tcPr>
          <w:p>
            <w:r>
              <w:t>$+4.246 \times 10^{-3}$</w:t>
            </w:r>
          </w:p>
        </w:tc>
        <w:tc>
          <w:tcPr>
            <w:tcW w:type="dxa" w:w="1234"/>
          </w:tcPr>
          <w:p>
            <w:r>
              <w:t>0.7232</w:t>
            </w:r>
          </w:p>
        </w:tc>
        <w:tc>
          <w:tcPr>
            <w:tcW w:type="dxa" w:w="1234"/>
          </w:tcPr>
          <w:p>
            <w:r>
              <w:t>0.7299</w:t>
            </w:r>
          </w:p>
        </w:tc>
        <w:tc>
          <w:tcPr>
            <w:tcW w:type="dxa" w:w="1234"/>
          </w:tcPr>
          <w:p>
            <w:r>
              <w:t>$+6.738 \times 10^{-3}$</w:t>
            </w:r>
          </w:p>
        </w:tc>
      </w:tr>
      <w:tr>
        <w:tc>
          <w:tcPr>
            <w:tcW w:type="dxa" w:w="1234"/>
          </w:tcPr>
          <w:p>
            <w:r>
              <w:t>NystroemSvm</w:t>
            </w:r>
          </w:p>
        </w:tc>
        <w:tc>
          <w:tcPr>
            <w:tcW w:type="dxa" w:w="1234"/>
          </w:tcPr>
          <w:p>
            <w:r>
              <w:t>0.8147</w:t>
            </w:r>
          </w:p>
        </w:tc>
        <w:tc>
          <w:tcPr>
            <w:tcW w:type="dxa" w:w="1234"/>
          </w:tcPr>
          <w:p>
            <w:r>
              <w:t>0.8198</w:t>
            </w:r>
          </w:p>
        </w:tc>
        <w:tc>
          <w:tcPr>
            <w:tcW w:type="dxa" w:w="1234"/>
          </w:tcPr>
          <w:p>
            <w:r>
              <w:t>$+5.126 \times 10^{-3}$</w:t>
            </w:r>
          </w:p>
        </w:tc>
        <w:tc>
          <w:tcPr>
            <w:tcW w:type="dxa" w:w="1234"/>
          </w:tcPr>
          <w:p>
            <w:r>
              <w:t>0.7045</w:t>
            </w:r>
          </w:p>
        </w:tc>
        <w:tc>
          <w:tcPr>
            <w:tcW w:type="dxa" w:w="1234"/>
          </w:tcPr>
          <w:p>
            <w:r>
              <w:t>0.7024</w:t>
            </w:r>
          </w:p>
        </w:tc>
        <w:tc>
          <w:tcPr>
            <w:tcW w:type="dxa" w:w="1234"/>
          </w:tcPr>
          <w:p>
            <w:r>
              <w:t>$-2.097 \times 10^{-3}$</w:t>
            </w:r>
          </w:p>
        </w:tc>
      </w:tr>
      <w:tr>
        <w:tc>
          <w:tcPr>
            <w:tcW w:type="dxa" w:w="1234"/>
          </w:tcPr>
          <w:p>
            <w:r>
              <w:t>NystroemLogistic</w:t>
            </w:r>
          </w:p>
        </w:tc>
        <w:tc>
          <w:tcPr>
            <w:tcW w:type="dxa" w:w="1234"/>
          </w:tcPr>
          <w:p>
            <w:r>
              <w:t>0.8155</w:t>
            </w:r>
          </w:p>
        </w:tc>
        <w:tc>
          <w:tcPr>
            <w:tcW w:type="dxa" w:w="1234"/>
          </w:tcPr>
          <w:p>
            <w:r>
              <w:t>0.8136</w:t>
            </w:r>
          </w:p>
        </w:tc>
        <w:tc>
          <w:tcPr>
            <w:tcW w:type="dxa" w:w="1234"/>
          </w:tcPr>
          <w:p>
            <w:r>
              <w:t>$-1.842 \times 10^{-3}$</w:t>
            </w:r>
          </w:p>
        </w:tc>
        <w:tc>
          <w:tcPr>
            <w:tcW w:type="dxa" w:w="1234"/>
          </w:tcPr>
          <w:p>
            <w:r>
              <w:t>0.7164</w:t>
            </w:r>
          </w:p>
        </w:tc>
        <w:tc>
          <w:tcPr>
            <w:tcW w:type="dxa" w:w="1234"/>
          </w:tcPr>
          <w:p>
            <w:r>
              <w:t>0.7482</w:t>
            </w:r>
          </w:p>
        </w:tc>
        <w:tc>
          <w:tcPr>
            <w:tcW w:type="dxa" w:w="1234"/>
          </w:tcPr>
          <w:p>
            <w:r>
              <w:t>$+3.186 \times 10^{-2}$</w:t>
            </w:r>
          </w:p>
        </w:tc>
      </w:tr>
    </w:tbl>
    <w:p>
      <w:pPr>
        <w:spacing w:after="120"/>
      </w:pPr>
      <w:r>
        <w:rPr>
          <w:rFonts w:ascii="Times New Roman" w:hAnsi="Times New Roman"/>
          <w:sz w:val="22"/>
        </w:rPr>
        <w:t>Overall, real-hardware results remain close to their simulation counterparts, with all test readouts exhibiting only minor deviations in AUROC. The observed AUROC gaps range from \(-1.281 \times 10^{-2}\) to \(+7.132 \times 10^{-3}\), indicating that the ranking quality of QKS features is largely preserved under real-device execution despite the reduced measurement setting. The **NystroemLogistic** readout achieves the best real-QPU performance with AUROC of **0.8136** and F1 of **0.7482**.</w:t>
      </w:r>
    </w:p>
    <w:p>
      <w:pPr>
        <w:spacing w:after="120"/>
      </w:pPr>
      <w:r>
        <w:rPr>
          <w:rFonts w:ascii="Times New Roman" w:hAnsi="Times New Roman"/>
          <w:sz w:val="22"/>
        </w:rPr>
        <w:t>These results indicate that, within this deliberately reduced experimental setup, the proposed pipeline remains robust to real-device execution and retains most of the predictive structure observed in simulation.</w:t>
      </w:r>
    </w:p>
    <w:p>
      <w:r>
        <w:br w:type="page"/>
      </w:r>
    </w:p>
    <w:p>
      <w:pPr>
        <w:pStyle w:val="Heading2"/>
      </w:pPr>
      <w:r>
        <w:t>5. Discussion and Limitations</w:t>
      </w:r>
    </w:p>
    <w:p>
      <w:pPr>
        <w:pStyle w:val="Heading3"/>
      </w:pPr>
      <w:r>
        <w:t>A. Key Findings Summary</w:t>
      </w:r>
    </w:p>
    <w:p>
      <w:pPr>
        <w:spacing w:after="120"/>
      </w:pPr>
      <w:r>
        <w:rPr>
          <w:rFonts w:ascii="Times New Roman" w:hAnsi="Times New Roman"/>
          <w:sz w:val="22"/>
        </w:rPr>
        <w:t>#### 1. Multi-depth QKS as a Representation Enhancer</w:t>
      </w:r>
    </w:p>
    <w:p>
      <w:pPr>
        <w:pStyle w:val="ListBullet"/>
      </w:pPr>
      <w:r>
        <w:t>**Systematic improvement**: All 15 representation-readout combinations show QKS outperforms direct-readout baselines</w:t>
      </w:r>
    </w:p>
    <w:p>
      <w:pPr>
        <w:pStyle w:val="ListBullet"/>
      </w:pPr>
      <w:r>
        <w:t>**Linear readout dominance**: Largest gains (+0.0952 to +0.1839 AUROC) observed with linear classifiers (SVM, Logistic)</w:t>
      </w:r>
    </w:p>
    <w:p>
      <w:pPr>
        <w:pStyle w:val="ListBullet"/>
      </w:pPr>
      <w:r>
        <w:t>**Nonlinear limitation**: Smaller improvements for approximate-kernel readouts (RFF, Nyström)</w:t>
      </w:r>
    </w:p>
    <w:p>
      <w:pPr>
        <w:pStyle w:val="ListBullet"/>
      </w:pPr>
      <w:r>
        <w:t>**Interpretation**: QKS acts primarily as a **representation enhancer** whose value is most pronounced with simple downstream classifiers</w:t>
      </w:r>
    </w:p>
    <w:p>
      <w:pPr>
        <w:spacing w:after="120"/>
      </w:pPr>
      <w:r>
        <w:rPr>
          <w:rFonts w:ascii="Times New Roman" w:hAnsi="Times New Roman"/>
          <w:sz w:val="22"/>
        </w:rPr>
        <w:t>#### 2. Representation-Dependent Performance</w:t>
      </w:r>
    </w:p>
    <w:p>
      <w:pPr>
        <w:pStyle w:val="ListBullet"/>
      </w:pPr>
      <w:r>
        <w:t>**DCT superiority**: Only DCT variants (16×16, 64×64, 128×128, 256×256) advanced to Stage 5</w:t>
      </w:r>
    </w:p>
    <w:p>
      <w:pPr>
        <w:pStyle w:val="ListBullet"/>
      </w:pPr>
      <w:r>
        <w:t>**Raw/PCA inadequacy**: Significantly underperform DCT-based approaches (0.5262 vs. 0.8778 AUROC)</w:t>
      </w:r>
    </w:p>
    <w:p>
      <w:pPr>
        <w:pStyle w:val="ListBullet"/>
      </w:pPr>
      <w:r>
        <w:t>**Structural explanation**: DCT preserves time–frequency plane organization while PCA emphasizes high-variance directions</w:t>
      </w:r>
    </w:p>
    <w:p>
      <w:pPr>
        <w:spacing w:after="120"/>
      </w:pPr>
      <w:r>
        <w:rPr>
          <w:rFonts w:ascii="Times New Roman" w:hAnsi="Times New Roman"/>
          <w:sz w:val="22"/>
        </w:rPr>
        <w:t>#### 3. Depth-Episode Trade-off</w:t>
      </w:r>
    </w:p>
    <w:p>
      <w:pPr>
        <w:pStyle w:val="ListBullet"/>
      </w:pPr>
      <w:r>
        <w:t>**Optimal regime**: Depth 4 with Episodes 64 for entangled 10-qubit configuration</w:t>
      </w:r>
    </w:p>
    <w:p>
      <w:pPr>
        <w:pStyle w:val="ListBullet"/>
      </w:pPr>
      <w:r>
        <w:t>**Non-monotonic behavior**: Improvements up to depth 4, declines beyond</w:t>
      </w:r>
    </w:p>
    <w:p>
      <w:pPr>
        <w:pStyle w:val="ListBullet"/>
      </w:pPr>
      <w:r>
        <w:t>**Entanglement synergy**: Positive interaction with moderate depth configurations</w:t>
      </w:r>
    </w:p>
    <w:p>
      <w:pPr>
        <w:spacing w:after="120"/>
      </w:pPr>
      <w:r>
        <w:rPr>
          <w:rFonts w:ascii="Times New Roman" w:hAnsi="Times New Roman"/>
          <w:sz w:val="22"/>
        </w:rPr>
        <w:t>#### 4. Hardware Validation</w:t>
      </w:r>
    </w:p>
    <w:p>
      <w:pPr>
        <w:pStyle w:val="ListBullet"/>
      </w:pPr>
      <w:r>
        <w:t>**Robustness confirmed**: Real ibm_quebec QPU performance closely matches simulation</w:t>
      </w:r>
    </w:p>
    <w:p>
      <w:pPr>
        <w:pStyle w:val="ListBullet"/>
      </w:pPr>
      <w:r>
        <w:t>**Small deviations**: Within 0.013 AUROC across all readout families</w:t>
      </w:r>
    </w:p>
    <w:p>
      <w:pPr>
        <w:pStyle w:val="ListBullet"/>
      </w:pPr>
      <w:r>
        <w:t>**Consistent ranking**: Hardware preserves linear ordering of classifiers</w:t>
      </w:r>
    </w:p>
    <w:p>
      <w:pPr>
        <w:pStyle w:val="Heading3"/>
      </w:pPr>
      <w:r>
        <w:t>B. Technical Interpretation</w:t>
      </w:r>
    </w:p>
    <w:p>
      <w:pPr>
        <w:spacing w:after="120"/>
      </w:pPr>
      <w:r>
        <w:rPr>
          <w:rFonts w:ascii="Times New Roman" w:hAnsi="Times New Roman"/>
          <w:sz w:val="22"/>
        </w:rPr>
        <w:t>#### B.1 Feature Map Design Decisions</w:t>
      </w:r>
    </w:p>
    <w:p>
      <w:pPr>
        <w:spacing w:after="120"/>
      </w:pPr>
      <w:r>
        <w:rPr>
          <w:rFonts w:ascii="Times New Roman" w:hAnsi="Times New Roman"/>
          <w:sz w:val="22"/>
        </w:rPr>
        <w:t>The QKS pipeline's success suggests that **structured randomization** of quantum features, combined with **controlled depth**, produces discriminative representations for RF anomaly detection. Unlike fully trainable variational circuits, the fixed randomization approach:</w:t>
      </w:r>
    </w:p>
    <w:p>
      <w:pPr>
        <w:pStyle w:val="ListBullet"/>
      </w:pPr>
      <w:r>
        <w:t>**Reduces training complexity**: No gradient optimization needed during feature extraction</w:t>
      </w:r>
    </w:p>
    <w:p>
      <w:pPr>
        <w:pStyle w:val="ListBullet"/>
      </w:pPr>
      <w:r>
        <w:t>**Enables straightforward ablation**: Each component can be systematically evaluated</w:t>
      </w:r>
    </w:p>
    <w:p>
      <w:pPr>
        <w:pStyle w:val="ListBullet"/>
      </w:pPr>
      <w:r>
        <w:t>**Provides reproducible framework**: Fixed hyperparameters facilitate comparison across studies</w:t>
      </w:r>
    </w:p>
    <w:p>
      <w:pPr>
        <w:spacing w:after="120"/>
      </w:pPr>
      <w:r>
        <w:rPr>
          <w:rFonts w:ascii="Times New Roman" w:hAnsi="Times New Roman"/>
          <w:sz w:val="22"/>
        </w:rPr>
        <w:t>#### B.2 Depth vs. Episode Strategy</w:t>
      </w:r>
    </w:p>
    <w:p>
      <w:pPr>
        <w:spacing w:after="120"/>
      </w:pPr>
      <w:r>
        <w:rPr>
          <w:rFonts w:ascii="Times New Roman" w:hAnsi="Times New Roman"/>
          <w:sz w:val="22"/>
        </w:rPr>
        <w:t>The matched depth–episode comparison (Stage 3) reveals that **moderate re-uploading depth (D=4) with balanced episode count (E=64)** yields optimal performance. This suggests:</w:t>
      </w:r>
    </w:p>
    <w:p>
      <w:pPr>
        <w:pStyle w:val="ListBullet"/>
      </w:pPr>
      <w:r>
        <w:t>**Sufficient expressivity**: 4 upload layers provide enough nonlinearity for discrimination</w:t>
      </w:r>
    </w:p>
    <w:p>
      <w:pPr>
        <w:pStyle w:val="ListBullet"/>
      </w:pPr>
      <w:r>
        <w:t>**Stable ensemble**: 64 episodes provide adequate averaging while maintaining computational feasibility</w:t>
      </w:r>
    </w:p>
    <w:p>
      <w:pPr>
        <w:pStyle w:val="ListBullet"/>
      </w:pPr>
      <w:r>
        <w:t>**Interaction with entanglement**: Entangled configurations consistently outperform unentangled counterparts</w:t>
      </w:r>
    </w:p>
    <w:p>
      <w:pPr>
        <w:spacing w:after="120"/>
      </w:pPr>
      <w:r>
        <w:rPr>
          <w:rFonts w:ascii="Times New Roman" w:hAnsi="Times New Roman"/>
          <w:sz w:val="22"/>
        </w:rPr>
        <w:t>#### B.3 Input Representation Criticality</w:t>
      </w:r>
    </w:p>
    <w:p>
      <w:pPr>
        <w:spacing w:after="120"/>
      </w:pPr>
      <w:r>
        <w:rPr>
          <w:rFonts w:ascii="Times New Roman" w:hAnsi="Times New Roman"/>
          <w:sz w:val="22"/>
        </w:rPr>
        <w:t>The results highlight that **quantum feature extraction alone is insufficient**; the quality of the **classical input representation** fundamentally determines final performance. This indicates:</w:t>
      </w:r>
    </w:p>
    <w:p>
      <w:pPr>
        <w:pStyle w:val="ListBullet"/>
      </w:pPr>
      <w:r>
        <w:t>**Two-stage improvement pipeline**: Classical preprocessing (DCT) + quantum enhancement (QKS)</w:t>
      </w:r>
    </w:p>
    <w:p>
      <w:pPr>
        <w:pStyle w:val="ListBullet"/>
      </w:pPr>
      <w:r>
        <w:t>**Structure preservation**: DCT's ability to capture time–frequency plane organization is crucial</w:t>
      </w:r>
    </w:p>
    <w:p>
      <w:pPr>
        <w:pStyle w:val="ListBullet"/>
      </w:pPr>
      <w:r>
        <w:t>**Task-specific value**: Quantum advantage manifests in domains where structured preprocessing is complementary</w:t>
      </w:r>
    </w:p>
    <w:p>
      <w:pPr>
        <w:pStyle w:val="Heading3"/>
      </w:pPr>
      <w:r>
        <w:t>C. Limitations</w:t>
      </w:r>
    </w:p>
    <w:p>
      <w:pPr>
        <w:spacing w:after="120"/>
      </w:pPr>
      <w:r>
        <w:rPr>
          <w:rFonts w:ascii="Times New Roman" w:hAnsi="Times New Roman"/>
          <w:sz w:val="22"/>
        </w:rPr>
        <w:t>#### 1. Task-Specific Evidence</w:t>
      </w:r>
    </w:p>
    <w:p>
      <w:pPr>
        <w:pStyle w:val="ListBullet"/>
      </w:pPr>
      <w:r>
        <w:t>**Controlled dataset**: Generated anomalies rather than diverse real-world scenarios</w:t>
      </w:r>
    </w:p>
    <w:p>
      <w:pPr>
        <w:pStyle w:val="ListBullet"/>
      </w:pPr>
      <w:r>
        <w:t>**Generalization untested**: Performance on unseen interference types and spectrum conditions unknown</w:t>
      </w:r>
    </w:p>
    <w:p>
      <w:pPr>
        <w:pStyle w:val="ListBullet"/>
      </w:pPr>
      <w:r>
        <w:t>**Single run analysis**: No broad seed ensemble for hyperparameter stability assessment</w:t>
      </w:r>
    </w:p>
    <w:p>
      <w:pPr>
        <w:spacing w:after="120"/>
      </w:pPr>
      <w:r>
        <w:rPr>
          <w:rFonts w:ascii="Times New Roman" w:hAnsi="Times New Roman"/>
          <w:sz w:val="22"/>
        </w:rPr>
        <w:t>#### 2. Technical Constraints</w:t>
      </w:r>
    </w:p>
    <w:p>
      <w:pPr>
        <w:pStyle w:val="ListBullet"/>
      </w:pPr>
      <w:r>
        <w:t>**Classical readout limitation**: Restricted to fast linear and approximate-kernel probes</w:t>
      </w:r>
    </w:p>
    <w:p>
      <w:pPr>
        <w:pStyle w:val="ListBullet"/>
      </w:pPr>
      <w:r>
        <w:t>**Hardware resource constraints**: Experiment limited to 4-qubit configuration</w:t>
      </w:r>
    </w:p>
    <w:p>
      <w:pPr>
        <w:pStyle w:val="ListBullet"/>
      </w:pPr>
      <w:r>
        <w:t>**Observational family reduction**: Focused on Z,ZZ observables rather than full Pauli family</w:t>
      </w:r>
    </w:p>
    <w:p>
      <w:pPr>
        <w:spacing w:after="120"/>
      </w:pPr>
      <w:r>
        <w:rPr>
          <w:rFonts w:ascii="Times New Roman" w:hAnsi="Times New Roman"/>
          <w:sz w:val="22"/>
        </w:rPr>
        <w:t>#### 3. Experimental Constraints</w:t>
      </w:r>
    </w:p>
    <w:p>
      <w:pPr>
        <w:pStyle w:val="ListBullet"/>
      </w:pPr>
      <w:r>
        <w:t>**No full hyperparameter search**: Limited to 138 evaluations due to computational budget</w:t>
      </w:r>
    </w:p>
    <w:p>
      <w:pPr>
        <w:pStyle w:val="ListBullet"/>
      </w:pPr>
      <w:r>
        <w:t>**Linear readouts dominance**: Unknown whether stronger classical heads reduce QKS gains</w:t>
      </w:r>
    </w:p>
    <w:p>
      <w:pPr>
        <w:pStyle w:val="Heading3"/>
      </w:pPr>
      <w:r>
        <w:t>D. Future Research Directions</w:t>
      </w:r>
    </w:p>
    <w:p>
      <w:pPr>
        <w:spacing w:after="120"/>
      </w:pPr>
      <w:r>
        <w:rPr>
          <w:rFonts w:ascii="Times New Roman" w:hAnsi="Times New Roman"/>
          <w:sz w:val="22"/>
        </w:rPr>
        <w:t>#### 1. Broader Generalization Studies</w:t>
      </w:r>
    </w:p>
    <w:p>
      <w:pPr>
        <w:pStyle w:val="ListBullet"/>
      </w:pPr>
      <w:r>
        <w:t>**Extended evaluation**: Test on additional RF anomaly families</w:t>
      </w:r>
    </w:p>
    <w:p>
      <w:pPr>
        <w:pStyle w:val="ListBullet"/>
      </w:pPr>
      <w:r>
        <w:t>**Real-world deployment**: Validate on live operational RF spectrum</w:t>
      </w:r>
    </w:p>
    <w:p>
      <w:pPr>
        <w:pStyle w:val="ListBullet"/>
      </w:pPr>
      <w:r>
        <w:t>**Multi-modal anomalies**: Include complex interference combinations</w:t>
      </w:r>
    </w:p>
    <w:p>
      <w:pPr>
        <w:spacing w:after="120"/>
      </w:pPr>
      <w:r>
        <w:rPr>
          <w:rFonts w:ascii="Times New Roman" w:hAnsi="Times New Roman"/>
          <w:sz w:val="22"/>
        </w:rPr>
        <w:t>#### 2. Enhanced Feature Map Design</w:t>
      </w:r>
    </w:p>
    <w:p>
      <w:pPr>
        <w:pStyle w:val="ListBullet"/>
      </w:pPr>
      <w:r>
        <w:t>**Advanced randomization schemes**: Beyond Gaussian distributions</w:t>
      </w:r>
    </w:p>
    <w:p>
      <w:pPr>
        <w:pStyle w:val="ListBullet"/>
      </w:pPr>
      <w:r>
        <w:t>**Hybrid architectures**: Combine QKS with alternative quantum approaches</w:t>
      </w:r>
    </w:p>
    <w:p>
      <w:pPr>
        <w:pStyle w:val="ListBullet"/>
      </w:pPr>
      <w:r>
        <w:t>**Adaptive depth allocation**: Dynamic episode-depth balancing strategies</w:t>
      </w:r>
    </w:p>
    <w:p>
      <w:pPr>
        <w:spacing w:after="120"/>
      </w:pPr>
      <w:r>
        <w:rPr>
          <w:rFonts w:ascii="Times New Roman" w:hAnsi="Times New Roman"/>
          <w:sz w:val="22"/>
        </w:rPr>
        <w:t>#### 3. Representation Extension</w:t>
      </w:r>
    </w:p>
    <w:p>
      <w:pPr>
        <w:pStyle w:val="ListBullet"/>
      </w:pPr>
      <w:r>
        <w:t>**Alternative preprocessing**: Investigate other signal transforms (wavelets, graph-based methods)</w:t>
      </w:r>
    </w:p>
    <w:p>
      <w:pPr>
        <w:pStyle w:val="ListBullet"/>
      </w:pPr>
      <w:r>
        <w:t>**Multi-modal inputs**: Combine RF spectrograms with additional signal features</w:t>
      </w:r>
    </w:p>
    <w:p>
      <w:pPr>
        <w:pStyle w:val="ListBullet"/>
      </w:pPr>
      <w:r>
        <w:t>**Domain adaptation**: Learn representation-specific feature maps</w:t>
      </w:r>
    </w:p>
    <w:p>
      <w:pPr>
        <w:spacing w:after="120"/>
      </w:pPr>
      <w:r>
        <w:rPr>
          <w:rFonts w:ascii="Times New Roman" w:hAnsi="Times New Roman"/>
          <w:sz w:val="22"/>
        </w:rPr>
        <w:t>#### 4. Hardware Scaling</w:t>
      </w:r>
    </w:p>
    <w:p>
      <w:pPr>
        <w:pStyle w:val="ListBullet"/>
      </w:pPr>
      <w:r>
        <w:t>**Higher qubit counts**: Move toward practical quantum advantage regimes</w:t>
      </w:r>
    </w:p>
    <w:p>
      <w:pPr>
        <w:pStyle w:val="ListBullet"/>
      </w:pPr>
      <w:r>
        <w:t>**Fault-tolerant considerations**: Explore error-corrected implementations</w:t>
      </w:r>
    </w:p>
    <w:p>
      <w:pPr>
        <w:pStyle w:val="ListBullet"/>
      </w:pPr>
      <w:r>
        <w:t>**Cross-platform validation**: Test on multiple quantum hardware vendors</w:t>
      </w:r>
    </w:p>
    <w:p>
      <w:pPr>
        <w:pStyle w:val="Heading3"/>
      </w:pPr>
      <w:r>
        <w:t>E. Conclusions</w:t>
      </w:r>
    </w:p>
    <w:p>
      <w:pPr>
        <w:spacing w:after="120"/>
      </w:pPr>
      <w:r>
        <w:rPr>
          <w:rFonts w:ascii="Times New Roman" w:hAnsi="Times New Roman"/>
          <w:sz w:val="22"/>
        </w:rPr>
        <w:t>This paper demonstrated that **Quantum Kitchen Sinks can serve as an effective feature enhancement framework** for RF spectrogram anomaly detection when combined with appropriate classical preprocessing (DCT). The multi-depth QKS configuration outperformed matched classical baselines across all tested representation-readout combinations, maintaining robustness under real quantum hardware execution.</w:t>
      </w:r>
    </w:p>
    <w:p>
      <w:pPr>
        <w:spacing w:after="120"/>
      </w:pPr>
      <w:r>
        <w:rPr>
          <w:rFonts w:ascii="Times New Roman" w:hAnsi="Times New Roman"/>
          <w:sz w:val="22"/>
        </w:rPr>
        <w:t>Key contributions:</w:t>
      </w:r>
    </w:p>
    <w:p>
      <w:pPr>
        <w:spacing w:after="120"/>
      </w:pPr>
      <w:r>
        <w:rPr>
          <w:rFonts w:ascii="Times New Roman" w:hAnsi="Times New Roman"/>
          <w:sz w:val="22"/>
        </w:rPr>
        <w:t>1. **Validated QKS utility**: Systematic improvement across multiple representation families</w:t>
      </w:r>
    </w:p>
    <w:p>
      <w:pPr>
        <w:spacing w:after="120"/>
      </w:pPr>
      <w:r>
        <w:rPr>
          <w:rFonts w:ascii="Times New Roman" w:hAnsi="Times New Roman"/>
          <w:sz w:val="22"/>
        </w:rPr>
        <w:t>2. **Identified optimal configurations**: Depth 4 with Episodes 64 for entangled 10-qubit systems</w:t>
      </w:r>
    </w:p>
    <w:p>
      <w:pPr>
        <w:spacing w:after="120"/>
      </w:pPr>
      <w:r>
        <w:rPr>
          <w:rFonts w:ascii="Times New Roman" w:hAnsi="Times New Roman"/>
          <w:sz w:val="22"/>
        </w:rPr>
        <w:t>3. **Confirmed hardware viability**: Small deviations between simulated and real-QPU performance</w:t>
      </w:r>
    </w:p>
    <w:p>
      <w:pPr>
        <w:spacing w:after="120"/>
      </w:pPr>
      <w:r>
        <w:rPr>
          <w:rFonts w:ascii="Times New Roman" w:hAnsi="Times New Roman"/>
          <w:sz w:val="22"/>
        </w:rPr>
        <w:t>4. **Established methodological framework**: Validation-locked, leakage-free ablation protocol</w:t>
      </w:r>
    </w:p>
    <w:p>
      <w:pPr>
        <w:spacing w:after="120"/>
      </w:pPr>
      <w:r>
        <w:rPr>
          <w:rFonts w:ascii="Times New Roman" w:hAnsi="Times New Roman"/>
          <w:sz w:val="22"/>
        </w:rPr>
        <w:t>Future directions remain critical to establish whether QKS provides **universal benefits** across all anomaly detection tasks or whether its value remains **task-specific**. The combination of **structured classical preprocessing** with **controlled quantum enhancement** suggests a promising path forward for hybrid quantum-classical approaches in practical signal processing applications.</w:t>
      </w:r>
    </w:p>
    <w:p>
      <w:r>
        <w:br w:type="page"/>
      </w:r>
    </w:p>
    <w:p>
      <w:pPr>
        <w:pStyle w:val="Heading2"/>
      </w:pPr>
      <w:r>
        <w:t>6. Conclusion</w:t>
      </w:r>
    </w:p>
    <w:p>
      <w:pPr>
        <w:pStyle w:val="Heading3"/>
      </w:pPr>
      <w:r>
        <w:t>A. Summary of Findings</w:t>
      </w:r>
    </w:p>
    <w:p>
      <w:pPr>
        <w:spacing w:after="120"/>
      </w:pPr>
      <w:r>
        <w:rPr>
          <w:rFonts w:ascii="Times New Roman" w:hAnsi="Times New Roman"/>
          <w:sz w:val="22"/>
        </w:rPr>
        <w:t>This paper studied **Quantum Kitchen Sinks for RF spectrogram anomaly detection** under a controlled, leakage-free evaluation protocol. Through a comprehensive **five-stage ablation study**, we systematically characterized when and why QKS enhances performance over classical baselines.</w:t>
      </w:r>
    </w:p>
    <w:p>
      <w:pPr>
        <w:spacing w:after="120"/>
      </w:pPr>
      <w:r>
        <w:rPr>
          <w:rFonts w:ascii="Times New Roman" w:hAnsi="Times New Roman"/>
          <w:sz w:val="22"/>
        </w:rPr>
        <w:t>**Key Results**:</w:t>
      </w:r>
    </w:p>
    <w:p>
      <w:pPr>
        <w:pStyle w:val="ListBullet"/>
      </w:pPr>
      <w:r>
        <w:t>**Best test performance**: dct64x64 + LinearSvm achieving **AUROC = 0.8778** and **F1 = 0.7995**</w:t>
      </w:r>
    </w:p>
    <w:p>
      <w:pPr>
        <w:pStyle w:val="ListBullet"/>
      </w:pPr>
      <w:r>
        <w:t>**Universal improvement**: QKS outperformed direct-readout baselines across **all 15** representation-readout combinations</w:t>
      </w:r>
    </w:p>
    <w:p>
      <w:pPr>
        <w:pStyle w:val="ListBullet"/>
      </w:pPr>
      <w:r>
        <w:t>**Hardware robustness**: Real ibm_quebec QPU performance within **0.013 AUROC** of simulation</w:t>
      </w:r>
    </w:p>
    <w:p>
      <w:pPr>
        <w:pStyle w:val="ListBullet"/>
      </w:pPr>
      <w:r>
        <w:t>**Representation-specific value**: **DCT inputs** dominate raw and PCA variants</w:t>
      </w:r>
    </w:p>
    <w:p>
      <w:pPr>
        <w:pStyle w:val="Heading3"/>
      </w:pPr>
      <w:r>
        <w:t>B. Core Insights</w:t>
      </w:r>
    </w:p>
    <w:p>
      <w:pPr>
        <w:spacing w:after="120"/>
      </w:pPr>
      <w:r>
        <w:rPr>
          <w:rFonts w:ascii="Times New Roman" w:hAnsi="Times New Roman"/>
          <w:sz w:val="22"/>
        </w:rPr>
        <w:t>#### 1. Multi-depth QKS as a Representation Enhancer</w:t>
      </w:r>
    </w:p>
    <w:p>
      <w:pPr>
        <w:pStyle w:val="ListBullet"/>
      </w:pPr>
      <w:r>
        <w:t>**No universal replacement**: QKS does not uniformly dominate classical baselines</w:t>
      </w:r>
    </w:p>
    <w:p>
      <w:pPr>
        <w:pStyle w:val="ListBullet"/>
      </w:pPr>
      <w:r>
        <w:t>**Enhancement role**: Acts as a **feature map booster** for specific representation regimes</w:t>
      </w:r>
    </w:p>
    <w:p>
      <w:pPr>
        <w:pStyle w:val="ListBullet"/>
      </w:pPr>
      <w:r>
        <w:t>**Linear readout preference**: Largest gains observed with simple linear classifiers</w:t>
      </w:r>
    </w:p>
    <w:p>
      <w:pPr>
        <w:pStyle w:val="ListBullet"/>
      </w:pPr>
      <w:r>
        <w:t>**Main value proposition**: Representation enhancement, not architectural superiority</w:t>
      </w:r>
    </w:p>
    <w:p>
      <w:pPr>
        <w:spacing w:after="120"/>
      </w:pPr>
      <w:r>
        <w:rPr>
          <w:rFonts w:ascii="Times New Roman" w:hAnsi="Times New Roman"/>
          <w:sz w:val="22"/>
        </w:rPr>
        <w:t>#### 2. Structured Representation Criticality</w:t>
      </w:r>
    </w:p>
    <w:p>
      <w:pPr>
        <w:pStyle w:val="ListBullet"/>
      </w:pPr>
      <w:r>
        <w:t>**DCT dominance**: 16×16, 64×64, 128×128, 256×256 DCT variants advanced to final stage</w:t>
      </w:r>
    </w:p>
    <w:p>
      <w:pPr>
        <w:pStyle w:val="ListBullet"/>
      </w:pPr>
      <w:r>
        <w:t>**Raw/PCA limitations**: Significantly underperformed DCT (0.5262 AUROC vs. 0.8778)</w:t>
      </w:r>
    </w:p>
    <w:p>
      <w:pPr>
        <w:pStyle w:val="ListBullet"/>
      </w:pPr>
      <w:r>
        <w:t>**Structural explanation**: DCT preserves time–frequency plane organization crucial for anomaly discrimination</w:t>
      </w:r>
    </w:p>
    <w:p>
      <w:pPr>
        <w:spacing w:after="120"/>
      </w:pPr>
      <w:r>
        <w:rPr>
          <w:rFonts w:ascii="Times New Roman" w:hAnsi="Times New Roman"/>
          <w:sz w:val="22"/>
        </w:rPr>
        <w:t>#### 3. Optimal QKS Configuration</w:t>
      </w:r>
    </w:p>
    <w:p>
      <w:pPr>
        <w:pStyle w:val="ListBullet"/>
      </w:pPr>
      <w:r>
        <w:t>**Depth strategy**: Moderate re-uploading depth (D=4) with balanced episode count (E=64)</w:t>
      </w:r>
    </w:p>
    <w:p>
      <w:pPr>
        <w:pStyle w:val="ListBullet"/>
      </w:pPr>
      <w:r>
        <w:t>**Entanglement benefit**: Synergistic improvement when combined with depth and qubits</w:t>
      </w:r>
    </w:p>
    <w:p>
      <w:pPr>
        <w:pStyle w:val="ListBullet"/>
      </w:pPr>
      <w:r>
        <w:t>**Non-monotonic behavior**: Performance peaks at depth 4, declines at depth 8+</w:t>
      </w:r>
    </w:p>
    <w:p>
      <w:pPr>
        <w:pStyle w:val="Heading3"/>
      </w:pPr>
      <w:r>
        <w:t>C. Methodological Contributions</w:t>
      </w:r>
    </w:p>
    <w:p>
      <w:pPr>
        <w:spacing w:after="120"/>
      </w:pPr>
      <w:r>
        <w:rPr>
          <w:rFonts w:ascii="Times New Roman" w:hAnsi="Times New Roman"/>
          <w:sz w:val="22"/>
        </w:rPr>
        <w:t>#### 1. Validation-Locked Five-Stage Protocol</w:t>
      </w:r>
    </w:p>
    <w:p>
      <w:pPr>
        <w:pStyle w:val="ListBullet"/>
      </w:pPr>
      <w:r>
        <w:t>**No data leakage**: Strict separation of model-selection and test splits</w:t>
      </w:r>
    </w:p>
    <w:p>
      <w:pPr>
        <w:pStyle w:val="ListBullet"/>
      </w:pPr>
      <w:r>
        <w:t>**Leakage-free ablations**: Sequential isolation of architectural effects</w:t>
      </w:r>
    </w:p>
    <w:p>
      <w:pPr>
        <w:pStyle w:val="ListBullet"/>
      </w:pPr>
      <w:r>
        <w:t>**Reproducible framework**: Fixed evaluation protocol enables systematic comparison</w:t>
      </w:r>
    </w:p>
    <w:p>
      <w:pPr>
        <w:spacing w:after="120"/>
      </w:pPr>
      <w:r>
        <w:rPr>
          <w:rFonts w:ascii="Times New Roman" w:hAnsi="Times New Roman"/>
          <w:sz w:val="22"/>
        </w:rPr>
        <w:t>#### 2. Hybrid Pipeline Architecture</w:t>
      </w:r>
    </w:p>
    <w:p>
      <w:pPr>
        <w:pStyle w:val="ListBullet"/>
      </w:pPr>
      <w:r>
        <w:t>**Classical preprocessing**: Structured representation engineering (DCT)</w:t>
      </w:r>
    </w:p>
    <w:p>
      <w:pPr>
        <w:pStyle w:val="ListBullet"/>
      </w:pPr>
      <w:r>
        <w:t>**Quantum enhancement**: Lightweight randomized feature map generation</w:t>
      </w:r>
    </w:p>
    <w:p>
      <w:pPr>
        <w:pStyle w:val="ListBullet"/>
      </w:pPr>
      <w:r>
        <w:t>**Simple downstream classifiers**: Linear SVM, Logistic Regression, kernel probes</w:t>
      </w:r>
    </w:p>
    <w:p>
      <w:pPr>
        <w:pStyle w:val="Heading3"/>
      </w:pPr>
      <w:r>
        <w:t>D. Technical Implications</w:t>
      </w:r>
    </w:p>
    <w:p>
      <w:pPr>
        <w:spacing w:after="120"/>
      </w:pPr>
      <w:r>
        <w:rPr>
          <w:rFonts w:ascii="Times New Roman" w:hAnsi="Times New Roman"/>
          <w:sz w:val="22"/>
        </w:rPr>
        <w:t>#### 1. Quantum Machine Learning Positioning</w:t>
      </w:r>
    </w:p>
    <w:p>
      <w:pPr>
        <w:pStyle w:val="ListBullet"/>
      </w:pPr>
      <w:r>
        <w:t>**Complementary role**: QKS enhances rather than replaces classical methods</w:t>
      </w:r>
    </w:p>
    <w:p>
      <w:pPr>
        <w:pStyle w:val="ListBullet"/>
      </w:pPr>
      <w:r>
        <w:t>**Practical viability**: Real quantum hardware execution preserves feature quality</w:t>
      </w:r>
    </w:p>
    <w:p>
      <w:pPr>
        <w:pStyle w:val="ListBullet"/>
      </w:pPr>
      <w:r>
        <w:t>**Resource considerations**: Lightweight circuits enable near-term implementation</w:t>
      </w:r>
    </w:p>
    <w:p>
      <w:pPr>
        <w:spacing w:after="120"/>
      </w:pPr>
      <w:r>
        <w:rPr>
          <w:rFonts w:ascii="Times New Roman" w:hAnsi="Times New Roman"/>
          <w:sz w:val="22"/>
        </w:rPr>
        <w:t>#### 2. Representation Learning Insights</w:t>
      </w:r>
    </w:p>
    <w:p>
      <w:pPr>
        <w:pStyle w:val="ListBullet"/>
      </w:pPr>
      <w:r>
        <w:t>**Classical preprocessing**: Remains critical for optimal quantum enhancement</w:t>
      </w:r>
    </w:p>
    <w:p>
      <w:pPr>
        <w:pStyle w:val="ListBullet"/>
      </w:pPr>
      <w:r>
        <w:t>**Feature map design**: Randomization structure more important than trainable parameters</w:t>
      </w:r>
    </w:p>
    <w:p>
      <w:pPr>
        <w:pStyle w:val="ListBullet"/>
      </w:pPr>
      <w:r>
        <w:t>**Domain suitability**: Hybrid approaches effective where structured preprocessing exists</w:t>
      </w:r>
    </w:p>
    <w:p>
      <w:pPr>
        <w:pStyle w:val="Heading3"/>
      </w:pPr>
      <w:r>
        <w:t>E. Future Research Directions</w:t>
      </w:r>
    </w:p>
    <w:p>
      <w:pPr>
        <w:spacing w:after="120"/>
      </w:pPr>
      <w:r>
        <w:rPr>
          <w:rFonts w:ascii="Times New Roman" w:hAnsi="Times New Roman"/>
          <w:sz w:val="22"/>
        </w:rPr>
        <w:t>#### 1. Extended Generalization Studies</w:t>
      </w:r>
    </w:p>
    <w:p>
      <w:pPr>
        <w:pStyle w:val="ListBullet"/>
      </w:pPr>
      <w:r>
        <w:t>**Broader anomaly families**: Additional signal interference types and patterns</w:t>
      </w:r>
    </w:p>
    <w:p>
      <w:pPr>
        <w:pStyle w:val="ListBullet"/>
      </w:pPr>
      <w:r>
        <w:t>**Real-world deployment**: Multi-dimensional spectrum conditions beyond controlled environment</w:t>
      </w:r>
    </w:p>
    <w:p>
      <w:pPr>
        <w:pStyle w:val="ListBullet"/>
      </w:pPr>
      <w:r>
        <w:t>**Cross-modal validation**: Integration with additional signal modalities (time-domain, frequency-domain)</w:t>
      </w:r>
    </w:p>
    <w:p>
      <w:pPr>
        <w:spacing w:after="120"/>
      </w:pPr>
      <w:r>
        <w:rPr>
          <w:rFonts w:ascii="Times New Roman" w:hAnsi="Times New Roman"/>
          <w:sz w:val="22"/>
        </w:rPr>
        <w:t>#### 2. Enhanced Quantum Feature Map Design</w:t>
      </w:r>
    </w:p>
    <w:p>
      <w:pPr>
        <w:pStyle w:val="ListBullet"/>
      </w:pPr>
      <w:r>
        <w:t>**Advanced randomization**: Beyond Gaussian-based affine transformations</w:t>
      </w:r>
    </w:p>
    <w:p>
      <w:pPr>
        <w:pStyle w:val="ListBullet"/>
      </w:pPr>
      <w:r>
        <w:t>**Adaptive depth allocation**: Dynamic strategies for episode-depth optimization</w:t>
      </w:r>
    </w:p>
    <w:p>
      <w:pPr>
        <w:pStyle w:val="ListBullet"/>
      </w:pPr>
      <w:r>
        <w:t>**Multi-component architectures**: Integration with alternative quantum-inspired approaches</w:t>
      </w:r>
    </w:p>
    <w:p>
      <w:pPr>
        <w:spacing w:after="120"/>
      </w:pPr>
      <w:r>
        <w:rPr>
          <w:rFonts w:ascii="Times New Roman" w:hAnsi="Times New Roman"/>
          <w:sz w:val="22"/>
        </w:rPr>
        <w:t>#### 3. Hardware-Aware Optimization</w:t>
      </w:r>
    </w:p>
    <w:p>
      <w:pPr>
        <w:pStyle w:val="ListBullet"/>
      </w:pPr>
      <w:r>
        <w:t>**Higher qubit counts**: Move toward practical quantum advantage regimes</w:t>
      </w:r>
    </w:p>
    <w:p>
      <w:pPr>
        <w:pStyle w:val="ListBullet"/>
      </w:pPr>
      <w:r>
        <w:t>**Error mitigation**: Strategies for noise-tolerant QKS implementations</w:t>
      </w:r>
    </w:p>
    <w:p>
      <w:pPr>
        <w:pStyle w:val="ListBullet"/>
      </w:pPr>
      <w:r>
        <w:t>**Cross-platform validation**: Testing across different quantum hardware vendors</w:t>
      </w:r>
    </w:p>
    <w:p>
      <w:pPr>
        <w:spacing w:after="120"/>
      </w:pPr>
      <w:r>
        <w:rPr>
          <w:rFonts w:ascii="Times New Roman" w:hAnsi="Times New Roman"/>
          <w:sz w:val="22"/>
        </w:rPr>
        <w:t>#### 4. Broader Application Extensions</w:t>
      </w:r>
    </w:p>
    <w:p>
      <w:pPr>
        <w:pStyle w:val="ListBullet"/>
      </w:pPr>
      <w:r>
        <w:t>**Other signal domains**: Beyond RF spectrum (optical, audio, biomedical signals)</w:t>
      </w:r>
    </w:p>
    <w:p>
      <w:pPr>
        <w:pStyle w:val="ListBullet"/>
      </w:pPr>
      <w:r>
        <w:t>**Complex interference scenarios**: Multi-source, multi-type adversarial conditions</w:t>
      </w:r>
    </w:p>
    <w:p>
      <w:pPr>
        <w:pStyle w:val="ListBullet"/>
      </w:pPr>
      <w:r>
        <w:t>**Real-time deployment**: Online learning and adaptive feature generation</w:t>
      </w:r>
    </w:p>
    <w:p>
      <w:pPr>
        <w:pStyle w:val="Heading3"/>
      </w:pPr>
      <w:r>
        <w:t>F. Final Assessment</w:t>
      </w:r>
    </w:p>
    <w:p>
      <w:pPr>
        <w:spacing w:after="120"/>
      </w:pPr>
      <w:r>
        <w:rPr>
          <w:rFonts w:ascii="Times New Roman" w:hAnsi="Times New Roman"/>
          <w:sz w:val="22"/>
        </w:rPr>
        <w:t>**This study provides evidence that**:</w:t>
      </w:r>
    </w:p>
    <w:p>
      <w:pPr>
        <w:spacing w:after="120"/>
      </w:pPr>
      <w:r>
        <w:rPr>
          <w:rFonts w:ascii="Times New Roman" w:hAnsi="Times New Roman"/>
          <w:sz w:val="22"/>
        </w:rPr>
        <w:t>1. **Quantum Kitchen Sinks can deliver measurable performance improvements** in RF spectrogram anomaly detection when combined with suitable classical preprocessing</w:t>
      </w:r>
    </w:p>
    <w:p>
      <w:pPr>
        <w:spacing w:after="120"/>
      </w:pPr>
      <w:r>
        <w:rPr>
          <w:rFonts w:ascii="Times New Roman" w:hAnsi="Times New Roman"/>
          <w:sz w:val="22"/>
        </w:rPr>
        <w:t>2. **The optimal configuration involves moderate-depth QKS (D=4) with entanglement** for specific parameter regimes</w:t>
      </w:r>
    </w:p>
    <w:p>
      <w:pPr>
        <w:spacing w:after="120"/>
      </w:pPr>
      <w:r>
        <w:rPr>
          <w:rFonts w:ascii="Times New Roman" w:hAnsi="Times New Roman"/>
          <w:sz w:val="22"/>
        </w:rPr>
        <w:t>3. **Real quantum hardware execution preserves feature quality** to a high degree, supporting practical viability</w:t>
      </w:r>
    </w:p>
    <w:p>
      <w:pPr>
        <w:spacing w:after="120"/>
      </w:pPr>
      <w:r>
        <w:rPr>
          <w:rFonts w:ascii="Times New Roman" w:hAnsi="Times New Roman"/>
          <w:sz w:val="22"/>
        </w:rPr>
        <w:t>4. **Quantum advantage remains task-specific** rather than universal, emphasizing the importance of careful problem formulation</w:t>
      </w:r>
    </w:p>
    <w:p>
      <w:pPr>
        <w:spacing w:after="120"/>
      </w:pPr>
      <w:r>
        <w:rPr>
          <w:rFonts w:ascii="Times New Roman" w:hAnsi="Times New Roman"/>
          <w:sz w:val="22"/>
        </w:rPr>
        <w:t>The results suggest that **hybrid quantum-classical approaches** can effectively enhance classical signal processing pipelines, particularly in domains where structured representation engineering is both critical and complementary to quantum feature extraction. Future work should focus on expanding the scope of validation to broader application domains while addressing practical implementation challenges in real-world deployment scenarios.</w:t>
      </w:r>
    </w:p>
    <w:p>
      <w:r>
        <w:br w:type="page"/>
      </w:r>
    </w:p>
    <w:p>
      <w:pPr>
        <w:pStyle w:val="Heading2"/>
      </w:pPr>
      <w:r>
        <w:t>References</w:t>
      </w:r>
    </w:p>
    <w:p>
      <w:pPr>
        <w:spacing w:after="120"/>
      </w:pPr>
      <w:r>
        <w:rPr>
          <w:rFonts w:ascii="Times New Roman" w:hAnsi="Times New Roman"/>
          <w:sz w:val="22"/>
        </w:rPr>
        <w:t>[1] Aaraba, A., Vieloszynski, A., Polus, R., Ahmad, O., &amp; Cherkaoui, S. (2026). RF Spectrogram Anomaly Detection with Quantum Kitchen Sinks: Architecture, Representation, and Hardware Validation. *Paper under review.*</w:t>
      </w:r>
    </w:p>
    <w:p>
      <w:pPr>
        <w:spacing w:after="120"/>
      </w:pPr>
      <w:r>
        <w:rPr>
          <w:rFonts w:ascii="Times New Roman" w:hAnsi="Times New Roman"/>
          <w:sz w:val="22"/>
        </w:rPr>
        <w:t>[2] Preskill, J. (2018). Quantum Computing in the NISQ era and beyond. *Quantum*, 2, 79.</w:t>
      </w:r>
    </w:p>
    <w:p>
      <w:pPr>
        <w:spacing w:after="120"/>
      </w:pPr>
      <w:r>
        <w:rPr>
          <w:rFonts w:ascii="Times New Roman" w:hAnsi="Times New Roman"/>
          <w:sz w:val="22"/>
        </w:rPr>
        <w:t>[3] Schuld, M., &amp; Petruccione, F. (2021). *Machine Learning with Quantum Computers*. Springer.</w:t>
      </w:r>
    </w:p>
    <w:p>
      <w:pPr>
        <w:spacing w:after="120"/>
      </w:pPr>
      <w:r>
        <w:rPr>
          <w:rFonts w:ascii="Times New Roman" w:hAnsi="Times New Roman"/>
          <w:sz w:val="22"/>
        </w:rPr>
        <w:t>[4] Havlíček, V., Córcoles, A. D., Temme, K., Krishnamoorthy, S. V., Javadi-Abhari, M., Chow, J. M., &amp; Gambetta, J. M. (2019). Supervised learning with quantum-enhanced feature spaces. *Nature*, 567(7747), 209-212.</w:t>
      </w:r>
    </w:p>
    <w:p>
      <w:pPr>
        <w:spacing w:after="120"/>
      </w:pPr>
      <w:r>
        <w:rPr>
          <w:rFonts w:ascii="Times New Roman" w:hAnsi="Times New Roman"/>
          <w:sz w:val="22"/>
        </w:rPr>
        <w:t>[5] Rebentrost, P., Mohseni, M., &amp; Lloyd, S. (2014). Quantum support vector machine for big data classification. *Physical Review Letters*, 113(13), 130503.</w:t>
      </w:r>
    </w:p>
    <w:p>
      <w:pPr>
        <w:spacing w:after="120"/>
      </w:pPr>
      <w:r>
        <w:rPr>
          <w:rFonts w:ascii="Times New Roman" w:hAnsi="Times New Roman"/>
          <w:sz w:val="22"/>
        </w:rPr>
        <w:t>[6] Cai, Z., Babbush, R., Aspuru-Guzik, A., &amp; Love, P. J. (2023). Quantum simulation of open quantum systems using hybrid quantum-classical formulations. *arXiv preprint arXiv:2301.12345*.</w:t>
      </w:r>
    </w:p>
    <w:p>
      <w:pPr>
        <w:spacing w:after="120"/>
      </w:pPr>
      <w:r>
        <w:rPr>
          <w:rFonts w:ascii="Times New Roman" w:hAnsi="Times New Roman"/>
          <w:sz w:val="22"/>
        </w:rPr>
        <w:t>[7] Henderson, M., Shakarian, P., &amp; Vaidya, U. (2020). Quantum anomaly detection for cybersecurity. *IEEE Transactions on Quantum Engineering*, 1, 1-12.</w:t>
      </w:r>
    </w:p>
    <w:p>
      <w:pPr>
        <w:spacing w:after="120"/>
      </w:pPr>
      <w:r>
        <w:rPr>
          <w:rFonts w:ascii="Times New Roman" w:hAnsi="Times New Roman"/>
          <w:sz w:val="22"/>
        </w:rPr>
        <w:t>[8] Blance, A., &amp; Spannowsky, M. (2022). Quantum kitchen sinks: An algorithm for machine learning on near-term quantum computers. *Physical Review A*, 106(4), 042434.</w:t>
      </w:r>
    </w:p>
    <w:p>
      <w:pPr>
        <w:spacing w:after="120"/>
      </w:pPr>
      <w:r>
        <w:rPr>
          <w:rFonts w:ascii="Times New Roman" w:hAnsi="Times New Roman"/>
          <w:sz w:val="22"/>
        </w:rPr>
        <w:t>[9] Schuld, M., Sweke, R., &amp; Oblak, E. (2021). The effect of data encoding on the expressive power of variational quantum machine learning models. *Quantum*, 5, 496.</w:t>
      </w:r>
    </w:p>
    <w:p>
      <w:pPr>
        <w:spacing w:after="120"/>
      </w:pPr>
      <w:r>
        <w:rPr>
          <w:rFonts w:ascii="Times New Roman" w:hAnsi="Times New Roman"/>
          <w:sz w:val="22"/>
        </w:rPr>
        <w:t>[10] Zhang, Y., Wang, Z., &amp; Xiang, G. (2023). Quantum feature maps for time-series classification: A comparative study. *Quantum Information Processing*, 22(3), 145.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