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3"/>
        <w:contextualSpacing w:val="0"/>
      </w:pPr>
      <w:r w:rsidRPr="00000000" w:rsidR="00000000" w:rsidDel="00000000">
        <w:rPr>
          <w:rtl w:val="0"/>
        </w:rPr>
        <w:t xml:space="preserve">Association of HRT with Breast Cancer: findings from aggregated data from 25 countries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Summary</w:t>
      </w:r>
    </w:p>
    <w:p w:rsidP="00000000" w:rsidRPr="00000000" w:rsidR="00000000" w:rsidDel="00000000" w:rsidRDefault="00000000">
      <w:pPr>
        <w:spacing w:lineRule="auto" w:after="240"/>
        <w:contextualSpacing w:val="0"/>
      </w:pPr>
      <w:r w:rsidRPr="00000000" w:rsidR="00000000" w:rsidDel="00000000">
        <w:rPr>
          <w:rtl w:val="0"/>
        </w:rPr>
        <w:t xml:space="preserve">The purpose of this paper is to analyse the association between adoption of hormone replacement therapy in 25 countries and the rates of breast cancer in those countries.</w:t>
      </w:r>
    </w:p>
    <w:p w:rsidP="00000000" w:rsidRPr="00000000" w:rsidR="00000000" w:rsidDel="00000000" w:rsidRDefault="00000000">
      <w:pPr>
        <w:pStyle w:val="Heading3"/>
        <w:spacing w:lineRule="auto" w:before="0"/>
        <w:contextualSpacing w:val="0"/>
      </w:pPr>
      <w:r w:rsidRPr="00000000" w:rsidR="00000000" w:rsidDel="00000000">
        <w:rPr>
          <w:rtl w:val="0"/>
        </w:rPr>
        <w:t xml:space="preserve">Data and Methods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 spreadsheet on the rates of adoption was prepared from published papers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From the Globoscan database, data on the incidence rates and mortality were abstracted and put into the spreadsheet. This composite data came from the following tables: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Table 1. Trends in HRT use</w:t>
      </w:r>
    </w:p>
    <w:tbl>
      <w:tblPr>
        <w:tblStyle w:val="Table1"/>
        <w:bidiVisual w:val="0"/>
        <w:tblW w:w="9360.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2637"/>
        <w:gridCol w:w="2977"/>
        <w:gridCol w:w="3746"/>
        <w:tblGridChange w:id="0">
          <w:tblGrid>
            <w:gridCol w:w="2637"/>
            <w:gridCol w:w="2977"/>
            <w:gridCol w:w="3746"/>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i w:val="1"/>
                <w:rtl w:val="0"/>
              </w:rPr>
              <w:t xml:space="preserve">Country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i w:val="1"/>
                <w:rtl w:val="0"/>
              </w:rPr>
              <w:t xml:space="preserve">Population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i w:val="1"/>
                <w:rtl w:val="0"/>
              </w:rPr>
              <w:t xml:space="preserve">Age-range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i w:val="1"/>
                <w:rtl w:val="0"/>
              </w:rPr>
              <w:t xml:space="preserve">HRT use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i w:val="1"/>
                <w:rtl w:val="0"/>
              </w:rPr>
              <w:t xml:space="preserve">References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Australia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Population-based survey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40 years and older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Peaked in 2001 at 21% and Decreased to 12% by 2002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Returned to 19% by 2003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(Main and Robinson, 2008, MacLennan et al., 2004, Zbuk and Anand, 2012)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Canada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National Population Health Survey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50-69</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Peaked at 30-45% in 2002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Decreased to 15% by 2004 and 13.7% in 2006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(Zbuk and Anand, 2012, De et al., 2010, Neutel and Morrison, 2010)</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China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Shanghai Women’s Health Study cohort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“after menopause”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Estimated 3% in 1997-2000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(Linos et al., 2008)</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Denmark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Danish Medicines Agency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Age range?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Peaked at 11% in 2003</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Decreased to 9.7% in 2004 and to 9% in 2005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(von Euler-Chelpin, 2011)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Finland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Nationwide register study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45 years and older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Peaked at 21% in 2003</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Decreased to 12% in 2012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(Holm et al., 2014)</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France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National reimbursement data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50-64 years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Peaked in 2001 at 32% Decreased to 11% by 2007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(Zbuk and Anand, 2012, Seradour et al., 2009)</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Iceland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Survey (n=561)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47-53 years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22% in 2004</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(Ref Icelandic study 57% of 52-57 year olds 1996-2001)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(Sveinsdóttir and Olafsson, 2006)</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Israel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HMO population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45 years and older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20% in 2001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10% in 2007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(Silverman and Kokia, 2009)</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Italy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Milan prescriptions file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50-69 years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Estimated at 12% in 2003</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6.9% in 1999-2001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(Manzoli et al., 2004, Crocetti et al., 2010)</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Japan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Community survey (n=8791)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45-64 years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2.5% in 1992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(Nagata et al., 1996)</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Korea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Nil</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Luxembourg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Nil</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Netherlands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EPIC Cohort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49-70 years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Peaked at 13% 1993 - 1997</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Decreased to 11.4% in 2002-2003 and to 6.6% by 2005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(Soerjomataram et al., 2007, van Duijnhoven et al., 2006)</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New Zealand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Population-based survey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45-64 years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20% in 1997</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Decreased to 11% in 2002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(Bilgrami et al., 2004, North and Sharples, 2001)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Norway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Oslo Health Study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59-60 years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46% of 59-60 year olds in 2000-2001 (Oslo)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Decreased in Norway by 67% from 1999 to 2007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(Meyer et al., 2009, Zbuk and Anand, 2012)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Poland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Representative national sample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45-64 years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12% in 2002 (before WHI Trial results)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(Rachon et al., 2004)</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Portugal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Cohort (n=382)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“Postmenopausal”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Lifetime prevalence of HRT use unchanged from 1985-2005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(Lucas and Barros, 2008)</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Saudi Arabia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Tertiary care hospital chart review</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56-59 years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46% in 2000 (before WHI Trial results)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(Kirkby and Saif, 2004)</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Spain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Primary healthcare centre population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45-65 years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11% in 1998</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8.6% in 2002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(Pollán et al., 2010, Zbuk and Anand, 2012, Bermejo and Perez, 2005)</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Sweden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National pharmacy data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50-59 years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Peaked at 36% in 1999</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Declined to 27% in 2002 and 9% in 2007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(Lambe et al., 2010)</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Switzerland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Cohort study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45-49 years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35-50% in 1996</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46% in 2002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(Verkooijen et al., 2008, Bouchardy et al., 2006)</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United Kingdom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Million Women Study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45-69 years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27.7% in 1998</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25% in 2000-2001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12% in 2006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(Bromley et al., 2004, Parkin, 2009)</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United States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National prescription and therapeutic index databases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50-74 years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Peaked at 42% in 2001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Declined to 28% in 2003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(Hersh et al., 2004)</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Uruguay</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Nil</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Based on this table and data obtained from Globoscan, we initially created this dataset: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The spreadsheet was then analyzed using Stata 12. The codes, tables, and the figures are presented along with the annotated tables.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 variable was created after studying the different years from the literature when different rates of the hormone replacement therapies were observed (see Table 1). These years varied as early as 1992 for Japan and for some countries it ended up in 2012. We also noted that 2008 was the latest year for which incidence data for breast cancer was available from the globoscan. Hence, a variable was created after taking into acount the variation in the prevalence of HRT use to indicate the latest year prior to 2008 for which data were reported. For several countries, no data were obtained (South Korea and Uruguay). For Spain, although two different regions were noted for which breast cancer incidence data were obtained, for these regions, it was not possible to obtain the HRT usage data from teh literature. Therefore, data for the rest of Spain was imputed to indicate HRT usage for Spain alone.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In addition to the variable created to reflect the latest year for which data were available, the usage (HRT usage) for that year was entered into the spreadsheet to indicate roughly the usage patterns for all years. This variable was referred to as CorrHRT to indicate the corresponding HRT usage percentage for the year corresponding to the latest year prior to 2008 for which data were available.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To further exmine the association between HRT usage and breast cancer incidence, the best estimated usage of HRT was also included, from the available information. This information is coded in the variable HRT Use.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The HRT Usage for both the average usage data and the HRT usage for the latest year available were then recoded to indicate high, medium or low usage. For HRT usage data as obtained from the best available estimate, three categories were created based on the distribution. For HRT prevalence corresponding to the latest year before 2008, two categories, high and low usage was created to indicate the low and high cut off values of usage of HRT therapy. The low category was created for those countries who prior to 2008, registered less than 9% usage in HRT, and high user category of countries were those who used between 9-46% HRT.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Breast cancer incidence and mortality values for 2008 were tabulated, graphically examined and Kruskal Wallis Test for rank sum tests were conducted to test associations between HRT Usage statistics and mortality or incidence of Breast Cancer in 2008.</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Tables of Results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Table 2. Distribution of the Breast Cancer Screening Programmes in the 25 countries.</w:t>
      </w:r>
    </w:p>
    <w:p w:rsidP="00000000" w:rsidRPr="00000000" w:rsidR="00000000" w:rsidDel="00000000" w:rsidRDefault="00000000">
      <w:pPr>
        <w:contextualSpacing w:val="0"/>
      </w:pPr>
      <w:r w:rsidRPr="00000000" w:rsidR="00000000" w:rsidDel="00000000">
        <w:rPr>
          <w:rtl w:val="0"/>
        </w:rPr>
      </w:r>
    </w:p>
    <w:tbl>
      <w:tblPr>
        <w:tblStyle w:val="Table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120"/>
        <w:gridCol w:w="3120"/>
        <w:tblGridChange w:id="0">
          <w:tblGrid>
            <w:gridCol w:w="3120"/>
            <w:gridCol w:w="3120"/>
            <w:gridCol w:w="3120"/>
          </w:tblGrid>
        </w:tblGridChange>
      </w:tblGrid>
      <w:tr>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Type</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Freq</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Percent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tc>
      </w:tr>
      <w:tr>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National Screening</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11</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44.00</w:t>
            </w:r>
          </w:p>
        </w:tc>
      </w:tr>
      <w:tr>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National plus State</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7</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28.00</w:t>
            </w:r>
          </w:p>
        </w:tc>
      </w:tr>
      <w:tr>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Other</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2</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8.00</w:t>
            </w:r>
          </w:p>
        </w:tc>
      </w:tr>
      <w:tr>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State Only</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5</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20.00</w:t>
            </w:r>
          </w:p>
        </w:tc>
      </w:tr>
      <w:tr>
        <w:tc>
          <w:tcPr>
            <w:tcMar>
              <w:left w:w="0.0" w:type="dxa"/>
              <w:right w:w="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left w:w="0.0" w:type="dxa"/>
              <w:right w:w="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left w:w="0.0" w:type="dxa"/>
              <w:right w:w="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Total</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25</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100.00</w:t>
            </w:r>
          </w:p>
        </w:tc>
      </w:tr>
    </w:tbl>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Table 3. Distribution of the HRT Usage and the Breast Cancer Incidence and Mortality</w:t>
      </w:r>
    </w:p>
    <w:tbl>
      <w:tblPr>
        <w:tblStyle w:val="Table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085"/>
        <w:gridCol w:w="1035"/>
        <w:gridCol w:w="1560"/>
        <w:gridCol w:w="1560"/>
        <w:gridCol w:w="1560"/>
        <w:gridCol w:w="1560"/>
        <w:tblGridChange w:id="0">
          <w:tblGrid>
            <w:gridCol w:w="2085"/>
            <w:gridCol w:w="1035"/>
            <w:gridCol w:w="1560"/>
            <w:gridCol w:w="1560"/>
            <w:gridCol w:w="1560"/>
            <w:gridCol w:w="1560"/>
          </w:tblGrid>
        </w:tblGridChange>
      </w:tblGrid>
      <w:tr>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Variable</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Obs</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Mean</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Std. Dev.</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Min</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Max</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tc>
      </w:tr>
      <w:tr>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HRT Usage</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20</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17.4</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13.8</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2.5</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46</w:t>
            </w:r>
          </w:p>
        </w:tc>
      </w:tr>
      <w:tr>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brca incidence (2008) per 100, 000 PY</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23</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75.1</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20.7</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22.4</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99.7</w:t>
            </w:r>
          </w:p>
        </w:tc>
      </w:tr>
      <w:tr>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brca mortality (2008) per 100, 000 PY</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23</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15.1</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3.56</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5.3</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20.8</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Table 4. HRT Use for the year that was closest to 2008 when the breast cancer incidence and motality were reported.</w:t>
      </w:r>
    </w:p>
    <w:p w:rsidP="00000000" w:rsidRPr="00000000" w:rsidR="00000000" w:rsidDel="00000000" w:rsidRDefault="00000000">
      <w:pPr>
        <w:contextualSpacing w:val="0"/>
      </w:pPr>
      <w:r w:rsidRPr="00000000" w:rsidR="00000000" w:rsidDel="00000000">
        <w:rPr>
          <w:rtl w:val="0"/>
        </w:rPr>
      </w:r>
    </w:p>
    <w:tbl>
      <w:tblPr>
        <w:tblStyle w:val="Table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120"/>
        <w:gridCol w:w="3120"/>
        <w:tblGridChange w:id="0">
          <w:tblGrid>
            <w:gridCol w:w="3120"/>
            <w:gridCol w:w="3120"/>
            <w:gridCol w:w="3120"/>
          </w:tblGrid>
        </w:tblGridChange>
      </w:tblGrid>
      <w:tr>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HRT Use</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Freq.</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Percent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tc>
      </w:tr>
      <w:tr>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Low Use (&lt; 9%)</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6</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30.00</w:t>
            </w:r>
          </w:p>
        </w:tc>
      </w:tr>
      <w:tr>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High Use (9-46%)</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14</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70.00</w:t>
            </w:r>
          </w:p>
        </w:tc>
      </w:tr>
      <w:tr>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Total</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20</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100.00</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Table 5. HRT Use (High Use versus Low Use) for Breast Cancer Incidence and Mortality</w:t>
      </w:r>
    </w:p>
    <w:p w:rsidP="00000000" w:rsidRPr="00000000" w:rsidR="00000000" w:rsidDel="00000000" w:rsidRDefault="00000000">
      <w:pPr>
        <w:contextualSpacing w:val="0"/>
      </w:pPr>
      <w:r w:rsidRPr="00000000" w:rsidR="00000000" w:rsidDel="00000000">
        <w:rPr>
          <w:rtl w:val="0"/>
        </w:rPr>
      </w:r>
    </w:p>
    <w:tbl>
      <w:tblPr>
        <w:tblStyle w:val="Table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120"/>
        <w:gridCol w:w="3120"/>
        <w:tblGridChange w:id="0">
          <w:tblGrid>
            <w:gridCol w:w="3120"/>
            <w:gridCol w:w="3120"/>
            <w:gridCol w:w="3120"/>
          </w:tblGrid>
        </w:tblGridChange>
      </w:tblGrid>
      <w:tr>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HRT Use Levels</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brca incidence in 2008</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brca mortality in 2008</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tc>
      </w:tr>
      <w:tr>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Low Use</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74.46 (15.42)</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22.1 (4.80)</w:t>
            </w:r>
          </w:p>
        </w:tc>
      </w:tr>
      <w:tr>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High Use</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79.5 (16)</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20.3 ( 2.37)</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Table 6. Kruskal-Wallis equality-of-populations rank test for incidence of breast cancer with HRT Use that was closest to 2008 as estimated</w:t>
      </w:r>
    </w:p>
    <w:p w:rsidP="00000000" w:rsidRPr="00000000" w:rsidR="00000000" w:rsidDel="00000000" w:rsidRDefault="00000000">
      <w:pPr>
        <w:contextualSpacing w:val="0"/>
      </w:pPr>
      <w:r w:rsidRPr="00000000" w:rsidR="00000000" w:rsidDel="00000000">
        <w:rPr>
          <w:rtl w:val="0"/>
        </w:rPr>
      </w:r>
    </w:p>
    <w:tbl>
      <w:tblPr>
        <w:tblStyle w:val="Table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120"/>
        <w:gridCol w:w="3120"/>
        <w:tblGridChange w:id="0">
          <w:tblGrid>
            <w:gridCol w:w="3120"/>
            <w:gridCol w:w="3120"/>
            <w:gridCol w:w="3120"/>
          </w:tblGrid>
        </w:tblGridChange>
      </w:tblGrid>
      <w:tr>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HRT use levels</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Obs</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Rank Sum</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tc>
      </w:tr>
      <w:tr>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Low Use</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5</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44.50</w:t>
            </w:r>
          </w:p>
        </w:tc>
      </w:tr>
      <w:tr>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High Use</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14</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145.50</w:t>
            </w:r>
          </w:p>
        </w:tc>
      </w:tr>
    </w:tbl>
    <w:p w:rsidP="00000000" w:rsidRPr="00000000" w:rsidR="00000000" w:rsidDel="00000000" w:rsidRDefault="00000000">
      <w:pPr>
        <w:numPr>
          <w:ilvl w:val="0"/>
          <w:numId w:val="3"/>
        </w:numPr>
        <w:ind w:left="600" w:firstLine="0"/>
        <w:contextualSpacing w:val="1"/>
      </w:pPr>
      <w:r w:rsidRPr="00000000" w:rsidR="00000000" w:rsidDel="00000000">
        <w:rPr>
          <w:rtl w:val="0"/>
        </w:rPr>
        <w:t xml:space="preserve">chi-squared = 0.25 with 1 d.f.</w:t>
      </w:r>
    </w:p>
    <w:p w:rsidP="00000000" w:rsidRPr="00000000" w:rsidR="00000000" w:rsidDel="00000000" w:rsidRDefault="00000000">
      <w:pPr>
        <w:numPr>
          <w:ilvl w:val="0"/>
          <w:numId w:val="3"/>
        </w:numPr>
        <w:ind w:left="600" w:firstLine="0"/>
        <w:contextualSpacing w:val="1"/>
      </w:pPr>
      <w:r w:rsidRPr="00000000" w:rsidR="00000000" w:rsidDel="00000000">
        <w:rPr>
          <w:rtl w:val="0"/>
        </w:rPr>
        <w:t xml:space="preserve">probability = 0.61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Table 7. Kruskal-Wallis equality-of-populations rank test for mortality attributed to breast cancer for HRT Use closest to the year 2008</w:t>
      </w:r>
    </w:p>
    <w:p w:rsidP="00000000" w:rsidRPr="00000000" w:rsidR="00000000" w:rsidDel="00000000" w:rsidRDefault="00000000">
      <w:pPr>
        <w:contextualSpacing w:val="0"/>
      </w:pPr>
      <w:r w:rsidRPr="00000000" w:rsidR="00000000" w:rsidDel="00000000">
        <w:rPr>
          <w:rtl w:val="0"/>
        </w:rPr>
      </w:r>
    </w:p>
    <w:tbl>
      <w:tblPr>
        <w:tblStyle w:val="Table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120"/>
        <w:gridCol w:w="3120"/>
        <w:tblGridChange w:id="0">
          <w:tblGrid>
            <w:gridCol w:w="3120"/>
            <w:gridCol w:w="3120"/>
            <w:gridCol w:w="3120"/>
          </w:tblGrid>
        </w:tblGridChange>
      </w:tblGrid>
      <w:tr>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HRT Use Levels</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Obs</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Rank Sum</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tc>
      </w:tr>
      <w:tr>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Low Use</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5</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48.00</w:t>
            </w:r>
          </w:p>
        </w:tc>
      </w:tr>
      <w:tr>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High Use</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14</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142.00</w:t>
            </w:r>
          </w:p>
        </w:tc>
      </w:tr>
    </w:tbl>
    <w:p w:rsidP="00000000" w:rsidRPr="00000000" w:rsidR="00000000" w:rsidDel="00000000" w:rsidRDefault="00000000">
      <w:pPr>
        <w:numPr>
          <w:ilvl w:val="0"/>
          <w:numId w:val="2"/>
        </w:numPr>
        <w:ind w:left="600" w:firstLine="0"/>
        <w:contextualSpacing w:val="1"/>
      </w:pPr>
      <w:r w:rsidRPr="00000000" w:rsidR="00000000" w:rsidDel="00000000">
        <w:rPr>
          <w:rtl w:val="0"/>
        </w:rPr>
        <w:t xml:space="preserve">Chi-squared = 0.034 with 1 d.f.</w:t>
      </w:r>
    </w:p>
    <w:p w:rsidP="00000000" w:rsidRPr="00000000" w:rsidR="00000000" w:rsidDel="00000000" w:rsidRDefault="00000000">
      <w:pPr>
        <w:numPr>
          <w:ilvl w:val="0"/>
          <w:numId w:val="2"/>
        </w:numPr>
        <w:ind w:left="600" w:firstLine="0"/>
        <w:contextualSpacing w:val="1"/>
      </w:pPr>
      <w:r w:rsidRPr="00000000" w:rsidR="00000000" w:rsidDel="00000000">
        <w:rPr>
          <w:rtl w:val="0"/>
        </w:rPr>
        <w:t xml:space="preserve">P-value = 0.8531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Figure 1. Bar Plot of Incidence of Breast Cancer for Low and High HRT Using Countries (incidence is measured in units of  per 100, 000 person-years)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318000" cx="5943600"/>
            <wp:effectExtent t="0" b="0" r="0" l="0"/>
            <wp:docPr id="2" name="image01.jpg" descr="GraphBrCaIncidence.jpg"/>
            <a:graphic>
              <a:graphicData uri="http://schemas.openxmlformats.org/drawingml/2006/picture">
                <pic:pic>
                  <pic:nvPicPr>
                    <pic:cNvPr id="0" name="image01.jpg" descr="GraphBrCaIncidence.jpg"/>
                    <pic:cNvPicPr preferRelativeResize="0"/>
                  </pic:nvPicPr>
                  <pic:blipFill>
                    <a:blip r:embed="rId5"/>
                    <a:srcRect t="0" b="0" r="0" l="0"/>
                    <a:stretch>
                      <a:fillRect/>
                    </a:stretch>
                  </pic:blipFill>
                  <pic:spPr>
                    <a:xfrm>
                      <a:off y="0" x="0"/>
                      <a:ext cy="43180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Figure 2. Bar plot of breast cancer mortality per 100, 000 in 2008 for levels of HRT Use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318000" cx="5943600"/>
            <wp:effectExtent t="0" b="0" r="0" l="0"/>
            <wp:docPr id="1" name="image00.jpg" descr="GraphBrcaMortality.jpg"/>
            <a:graphic>
              <a:graphicData uri="http://schemas.openxmlformats.org/drawingml/2006/picture">
                <pic:pic>
                  <pic:nvPicPr>
                    <pic:cNvPr id="0" name="image00.jpg" descr="GraphBrcaMortality.jpg"/>
                    <pic:cNvPicPr preferRelativeResize="0"/>
                  </pic:nvPicPr>
                  <pic:blipFill>
                    <a:blip r:embed="rId6"/>
                    <a:srcRect t="0" b="0" r="0" l="0"/>
                    <a:stretch>
                      <a:fillRect/>
                    </a:stretch>
                  </pic:blipFill>
                  <pic:spPr>
                    <a:xfrm>
                      <a:off y="0" x="0"/>
                      <a:ext cy="43180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Table 8. Distribution of the Use of HRT at Non-peak levels</w:t>
      </w:r>
    </w:p>
    <w:p w:rsidP="00000000" w:rsidRPr="00000000" w:rsidR="00000000" w:rsidDel="00000000" w:rsidRDefault="00000000">
      <w:pPr>
        <w:contextualSpacing w:val="0"/>
      </w:pPr>
      <w:r w:rsidRPr="00000000" w:rsidR="00000000" w:rsidDel="00000000">
        <w:rPr>
          <w:rtl w:val="0"/>
        </w:rPr>
      </w:r>
    </w:p>
    <w:tbl>
      <w:tblPr>
        <w:tblStyle w:val="Table8"/>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Change w:id="0">
          <w:tblGrid>
            <w:gridCol w:w="4680"/>
            <w:gridCol w:w="4680"/>
          </w:tblGrid>
        </w:tblGridChange>
      </w:tblGrid>
      <w:tr>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HRT Use</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mean (SD)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tc>
      </w:tr>
      <w:tr>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Low Use</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78.8 (15.4)</w:t>
            </w:r>
          </w:p>
        </w:tc>
      </w:tr>
      <w:tr>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Medium Use</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95.7 (4.40)</w:t>
            </w:r>
          </w:p>
        </w:tc>
      </w:tr>
      <w:tr>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High Use</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83.5 (4.18)</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Table 9. Kruskal-Wallis equality-of-populations rank test for breast cancer incidence with HRT Use Rates</w:t>
      </w:r>
    </w:p>
    <w:tbl>
      <w:tblPr>
        <w:tblStyle w:val="Table9"/>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120"/>
        <w:gridCol w:w="3120"/>
        <w:tblGridChange w:id="0">
          <w:tblGrid>
            <w:gridCol w:w="3120"/>
            <w:gridCol w:w="3120"/>
            <w:gridCol w:w="3120"/>
          </w:tblGrid>
        </w:tblGridChange>
      </w:tblGrid>
      <w:tr>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HRT Use</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Obs</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Rank Sum</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tc>
      </w:tr>
      <w:tr>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Low Use</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3</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16.00</w:t>
            </w:r>
          </w:p>
        </w:tc>
      </w:tr>
      <w:tr>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Medium Use</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4</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49.50</w:t>
            </w:r>
          </w:p>
        </w:tc>
      </w:tr>
      <w:tr>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High Use</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6</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29.00</w:t>
            </w:r>
          </w:p>
        </w:tc>
      </w:tr>
    </w:tbl>
    <w:p w:rsidP="00000000" w:rsidRPr="00000000" w:rsidR="00000000" w:rsidDel="00000000" w:rsidRDefault="00000000">
      <w:pPr>
        <w:contextualSpacing w:val="0"/>
      </w:pPr>
      <w:r w:rsidRPr="00000000" w:rsidR="00000000" w:rsidDel="00000000">
        <w:rPr>
          <w:rtl w:val="0"/>
        </w:rPr>
        <w:t xml:space="preserve">* Chi-squared = 9.189 with 3 d.f.</w:t>
      </w:r>
    </w:p>
    <w:p w:rsidP="00000000" w:rsidRPr="00000000" w:rsidR="00000000" w:rsidDel="00000000" w:rsidRDefault="00000000">
      <w:pPr>
        <w:contextualSpacing w:val="0"/>
      </w:pPr>
      <w:r w:rsidRPr="00000000" w:rsidR="00000000" w:rsidDel="00000000">
        <w:rPr>
          <w:rtl w:val="0"/>
        </w:rPr>
        <w:t xml:space="preserve">* P-value = 0.026</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spacing w:lineRule="auto" w:after="240" w:before="240"/>
      <w:contextualSpacing w:val="1"/>
    </w:pPr>
    <w:rPr>
      <w:b w:val="1"/>
      <w:i w:val="0"/>
      <w:sz w:val="48"/>
    </w:rPr>
  </w:style>
  <w:style w:styleId="Heading2" w:type="paragraph">
    <w:name w:val="heading 2"/>
    <w:basedOn w:val="Normal"/>
    <w:next w:val="Normal"/>
    <w:pPr>
      <w:spacing w:lineRule="auto" w:after="225" w:before="225"/>
      <w:contextualSpacing w:val="1"/>
    </w:pPr>
    <w:rPr>
      <w:b w:val="1"/>
      <w:i w:val="0"/>
      <w:sz w:val="36"/>
    </w:rPr>
  </w:style>
  <w:style w:styleId="Heading3" w:type="paragraph">
    <w:name w:val="heading 3"/>
    <w:basedOn w:val="Normal"/>
    <w:next w:val="Normal"/>
    <w:pPr>
      <w:spacing w:lineRule="auto" w:after="240" w:before="240"/>
      <w:contextualSpacing w:val="1"/>
    </w:pPr>
    <w:rPr>
      <w:b w:val="1"/>
      <w:i w:val="0"/>
      <w:sz w:val="28"/>
    </w:rPr>
  </w:style>
  <w:style w:styleId="Heading4" w:type="paragraph">
    <w:name w:val="heading 4"/>
    <w:basedOn w:val="Normal"/>
    <w:next w:val="Normal"/>
    <w:pPr>
      <w:spacing w:lineRule="auto" w:after="255" w:before="255"/>
      <w:contextualSpacing w:val="1"/>
    </w:pPr>
    <w:rPr>
      <w:b w:val="1"/>
      <w:i w:val="0"/>
      <w:sz w:val="24"/>
    </w:rPr>
  </w:style>
  <w:style w:styleId="Heading5" w:type="paragraph">
    <w:name w:val="heading 5"/>
    <w:basedOn w:val="Normal"/>
    <w:next w:val="Normal"/>
    <w:pPr>
      <w:spacing w:lineRule="auto" w:after="255" w:before="255"/>
      <w:contextualSpacing w:val="1"/>
    </w:pPr>
    <w:rPr>
      <w:b w:val="1"/>
      <w:i w:val="0"/>
      <w:sz w:val="18"/>
    </w:rPr>
  </w:style>
  <w:style w:styleId="Heading6" w:type="paragraph">
    <w:name w:val="heading 6"/>
    <w:basedOn w:val="Normal"/>
    <w:next w:val="Normal"/>
    <w:pPr>
      <w:spacing w:lineRule="auto" w:after="360" w:before="360"/>
      <w:contextualSpacing w:val="1"/>
    </w:pPr>
    <w:rPr>
      <w:b w:val="1"/>
      <w:i w:val="0"/>
      <w:sz w:val="16"/>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jpg" Type="http://schemas.openxmlformats.org/officeDocument/2006/relationships/image" Id="rId6"/><Relationship Target="media/image01.jp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Breast cancer incidence mortality HRT Use.docx</dc:title>
</cp:coreProperties>
</file>