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A1628" w:val="clear"/>
        <w:spacing w:after="0" w:before="0"/>
      </w:pPr>
      <w:r>
        <w:rPr>
          <w:sz w:val="4"/>
          <w:szCs w:val="4"/>
        </w:rPr>
        <w:t xml:space="preserve"> </w:t>
      </w:r>
    </w:p>
    <w:p>
      <w:pPr>
        <w:shd w:fill="0A1628" w:val="clear"/>
        <w:spacing w:after="0" w:before="0"/>
      </w:pPr>
      <w:r>
        <w:rPr>
          <w:sz w:val="4"/>
          <w:szCs w:val="4"/>
        </w:rPr>
        <w:t xml:space="preserve"> </w:t>
      </w:r>
    </w:p>
    <w:p>
      <w:pPr>
        <w:spacing w:after="40" w:before="40"/>
      </w:pPr>
      <w:r>
        <w:t xml:space="preserve"/>
      </w:r>
    </w:p>
    <w:p>
      <w:pPr>
        <w:spacing w:after="40" w:before="40"/>
      </w:pPr>
      <w:r>
        <w:t xml:space="preserve"/>
      </w:r>
    </w:p>
    <w:p>
      <w:pPr>
        <w:spacing w:after="20" w:before="0"/>
        <w:jc w:val="center"/>
      </w:pPr>
      <w:r>
        <w:rPr>
          <w:rFonts w:ascii="Calibri" w:cs="Calibri" w:eastAsia="Calibri" w:hAnsi="Calibri"/>
          <w:b/>
          <w:bCs/>
          <w:caps/>
          <w:color w:val="8E8E93"/>
          <w:sz w:val="28"/>
          <w:szCs w:val="28"/>
        </w:rPr>
        <w:t xml:space="preserve">BUSINESS PROPOSAL</w:t>
      </w:r>
    </w:p>
    <w:p>
      <w:pPr>
        <w:spacing w:after="10" w:before="0"/>
        <w:jc w:val="center"/>
      </w:pPr>
      <w:r>
        <w:rPr>
          <w:rFonts w:ascii="Calibri" w:cs="Calibri" w:eastAsia="Calibri" w:hAnsi="Calibri"/>
          <w:b/>
          <w:bCs/>
          <w:color w:val="0A1628"/>
          <w:sz w:val="110"/>
          <w:szCs w:val="110"/>
        </w:rPr>
        <w:t xml:space="preserve">MOBI-ASSUR</w:t>
      </w:r>
    </w:p>
    <w:p>
      <w:pPr>
        <w:spacing w:after="10" w:before="0"/>
        <w:jc w:val="center"/>
      </w:pPr>
      <w:r>
        <w:rPr>
          <w:rFonts w:ascii="Calibri" w:cs="Calibri" w:eastAsia="Calibri" w:hAnsi="Calibri"/>
          <w:b/>
          <w:bCs/>
          <w:color w:val="1565C0"/>
          <w:sz w:val="52"/>
          <w:szCs w:val="52"/>
        </w:rPr>
        <w:t xml:space="preserve">CAMEROUN</w:t>
      </w:r>
    </w:p>
    <w:p>
      <w:pPr>
        <w:spacing w:after="60" w:before="0"/>
        <w:jc w:val="center"/>
      </w:pPr>
      <w:r>
        <w:rPr>
          <w:rFonts w:ascii="Calibri" w:cs="Calibri" w:eastAsia="Calibri" w:hAnsi="Calibri"/>
          <w:i/>
          <w:iCs/>
          <w:color w:val="1A3A5C"/>
          <w:sz w:val="27"/>
          <w:szCs w:val="27"/>
        </w:rPr>
        <w:t xml:space="preserve">Plateforme Digitale de Gestion des Polices d'Assurance Automobile</w:t>
      </w:r>
    </w:p>
    <w:p>
      <w:pPr>
        <w:pBdr>
          <w:bottom w:val="single" w:color="1565C0" w:sz="4"/>
        </w:pBdr>
        <w:spacing w:after="10" w:before="1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1565C0" w:sz="1"/>
              <w:left w:val="single" w:color="1565C0" w:sz="1"/>
              <w:bottom w:val="single" w:color="1565C0" w:sz="1"/>
              <w:right w:val="single" w:color="1565C0" w:sz="1"/>
            </w:tcBorders>
            <w:shd w:fill="E3F2FD" w:val="clear"/>
            <w:tcMar>
              <w:top w:type="dxa" w:w="130"/>
              <w:left w:type="dxa" w:w="60"/>
              <w:bottom w:type="dxa" w:w="130"/>
              <w:right w:type="dxa" w:w="60"/>
            </w:tcMar>
            <w:vAlign w:val="center"/>
          </w:tcPr>
          <w:p>
            <w:pPr>
              <w:spacing w:after="15" w:before="0"/>
              <w:jc w:val="center"/>
            </w:pPr>
            <w:r>
              <w:rPr>
                <w:rFonts w:ascii="Calibri" w:cs="Calibri" w:eastAsia="Calibri" w:hAnsi="Calibri"/>
                <w:sz w:val="40"/>
                <w:szCs w:val="40"/>
              </w:rPr>
              <w:t xml:space="preserve">💰</w:t>
            </w:r>
          </w:p>
          <w:p>
            <w:pPr>
              <w:spacing w:after="10" w:before="0"/>
              <w:jc w:val="center"/>
            </w:pPr>
            <w:r>
              <w:rPr>
                <w:rFonts w:ascii="Calibri" w:cs="Calibri" w:eastAsia="Calibri" w:hAnsi="Calibri"/>
                <w:b/>
                <w:bCs/>
                <w:color w:val="1565C0"/>
                <w:sz w:val="34"/>
                <w:szCs w:val="34"/>
              </w:rPr>
              <w:t xml:space="preserve">12 000 000 FCFA</w:t>
            </w:r>
          </w:p>
          <w:p>
            <w:pPr>
              <w:spacing w:after="0" w:before="0"/>
              <w:jc w:val="center"/>
            </w:pPr>
            <w:r>
              <w:rPr>
                <w:rFonts w:ascii="Calibri" w:cs="Calibri" w:eastAsia="Calibri" w:hAnsi="Calibri"/>
                <w:color w:val="3A3A3C"/>
                <w:sz w:val="17"/>
                <w:szCs w:val="17"/>
              </w:rPr>
              <w:t xml:space="preserve">Investissement total</w:t>
            </w:r>
          </w:p>
        </w:tc>
        <w:tc>
          <w:tcPr>
            <w:tcBorders>
              <w:top w:val="single" w:color="004D40" w:sz="1"/>
              <w:left w:val="single" w:color="004D40" w:sz="1"/>
              <w:bottom w:val="single" w:color="004D40" w:sz="1"/>
              <w:right w:val="single" w:color="004D40" w:sz="1"/>
            </w:tcBorders>
            <w:shd w:fill="E0F2F1" w:val="clear"/>
            <w:tcMar>
              <w:top w:type="dxa" w:w="130"/>
              <w:left w:type="dxa" w:w="60"/>
              <w:bottom w:type="dxa" w:w="130"/>
              <w:right w:type="dxa" w:w="60"/>
            </w:tcMar>
            <w:vAlign w:val="center"/>
          </w:tcPr>
          <w:p>
            <w:pPr>
              <w:spacing w:after="15" w:before="0"/>
              <w:jc w:val="center"/>
            </w:pPr>
            <w:r>
              <w:rPr>
                <w:rFonts w:ascii="Calibri" w:cs="Calibri" w:eastAsia="Calibri" w:hAnsi="Calibri"/>
                <w:sz w:val="40"/>
                <w:szCs w:val="40"/>
              </w:rPr>
              <w:t xml:space="preserve">📅</w:t>
            </w:r>
          </w:p>
          <w:p>
            <w:pPr>
              <w:spacing w:after="10" w:before="0"/>
              <w:jc w:val="center"/>
            </w:pPr>
            <w:r>
              <w:rPr>
                <w:rFonts w:ascii="Calibri" w:cs="Calibri" w:eastAsia="Calibri" w:hAnsi="Calibri"/>
                <w:b/>
                <w:bCs/>
                <w:color w:val="004D40"/>
                <w:sz w:val="34"/>
                <w:szCs w:val="34"/>
              </w:rPr>
              <w:t xml:space="preserve">8 mois</w:t>
            </w:r>
          </w:p>
          <w:p>
            <w:pPr>
              <w:spacing w:after="0" w:before="0"/>
              <w:jc w:val="center"/>
            </w:pPr>
            <w:r>
              <w:rPr>
                <w:rFonts w:ascii="Calibri" w:cs="Calibri" w:eastAsia="Calibri" w:hAnsi="Calibri"/>
                <w:color w:val="3A3A3C"/>
                <w:sz w:val="17"/>
                <w:szCs w:val="17"/>
              </w:rPr>
              <w:t xml:space="preserve">Délai de livraison</w:t>
            </w:r>
          </w:p>
        </w:tc>
        <w:tc>
          <w:tcPr>
            <w:tcBorders>
              <w:top w:val="single" w:color="2E7D32" w:sz="1"/>
              <w:left w:val="single" w:color="2E7D32" w:sz="1"/>
              <w:bottom w:val="single" w:color="2E7D32" w:sz="1"/>
              <w:right w:val="single" w:color="2E7D32" w:sz="1"/>
            </w:tcBorders>
            <w:shd w:fill="E8F5E9" w:val="clear"/>
            <w:tcMar>
              <w:top w:type="dxa" w:w="130"/>
              <w:left w:type="dxa" w:w="60"/>
              <w:bottom w:type="dxa" w:w="130"/>
              <w:right w:type="dxa" w:w="60"/>
            </w:tcMar>
            <w:vAlign w:val="center"/>
          </w:tcPr>
          <w:p>
            <w:pPr>
              <w:spacing w:after="15" w:before="0"/>
              <w:jc w:val="center"/>
            </w:pPr>
            <w:r>
              <w:rPr>
                <w:rFonts w:ascii="Calibri" w:cs="Calibri" w:eastAsia="Calibri" w:hAnsi="Calibri"/>
                <w:sz w:val="40"/>
                <w:szCs w:val="40"/>
              </w:rPr>
              <w:t xml:space="preserve">📈</w:t>
            </w:r>
          </w:p>
          <w:p>
            <w:pPr>
              <w:spacing w:after="10" w:before="0"/>
              <w:jc w:val="center"/>
            </w:pPr>
            <w:r>
              <w:rPr>
                <w:rFonts w:ascii="Calibri" w:cs="Calibri" w:eastAsia="Calibri" w:hAnsi="Calibri"/>
                <w:b/>
                <w:bCs/>
                <w:color w:val="2E7D32"/>
                <w:sz w:val="34"/>
                <w:szCs w:val="34"/>
              </w:rPr>
              <w:t xml:space="preserve">+25% de CA</w:t>
            </w:r>
          </w:p>
          <w:p>
            <w:pPr>
              <w:spacing w:after="0" w:before="0"/>
              <w:jc w:val="center"/>
            </w:pPr>
            <w:r>
              <w:rPr>
                <w:rFonts w:ascii="Calibri" w:cs="Calibri" w:eastAsia="Calibri" w:hAnsi="Calibri"/>
                <w:color w:val="3A3A3C"/>
                <w:sz w:val="17"/>
                <w:szCs w:val="17"/>
              </w:rPr>
              <w:t xml:space="preserve">Croissance ventes terrain</w:t>
            </w:r>
          </w:p>
        </w:tc>
        <w:tc>
          <w:tcPr>
            <w:tcBorders>
              <w:top w:val="single" w:color="F57F17" w:sz="1"/>
              <w:left w:val="single" w:color="F57F17" w:sz="1"/>
              <w:bottom w:val="single" w:color="F57F17" w:sz="1"/>
              <w:right w:val="single" w:color="F57F17" w:sz="1"/>
            </w:tcBorders>
            <w:shd w:fill="FFFDE7" w:val="clear"/>
            <w:tcMar>
              <w:top w:type="dxa" w:w="130"/>
              <w:left w:type="dxa" w:w="60"/>
              <w:bottom w:type="dxa" w:w="130"/>
              <w:right w:type="dxa" w:w="60"/>
            </w:tcMar>
            <w:vAlign w:val="center"/>
          </w:tcPr>
          <w:p>
            <w:pPr>
              <w:spacing w:after="15" w:before="0"/>
              <w:jc w:val="center"/>
            </w:pPr>
            <w:r>
              <w:rPr>
                <w:rFonts w:ascii="Calibri" w:cs="Calibri" w:eastAsia="Calibri" w:hAnsi="Calibri"/>
                <w:sz w:val="40"/>
                <w:szCs w:val="40"/>
              </w:rPr>
              <w:t xml:space="preserve">💵</w:t>
            </w:r>
          </w:p>
          <w:p>
            <w:pPr>
              <w:spacing w:after="10" w:before="0"/>
              <w:jc w:val="center"/>
            </w:pPr>
            <w:r>
              <w:rPr>
                <w:rFonts w:ascii="Calibri" w:cs="Calibri" w:eastAsia="Calibri" w:hAnsi="Calibri"/>
                <w:b/>
                <w:bCs/>
                <w:color w:val="F57F17"/>
                <w:sz w:val="34"/>
                <w:szCs w:val="34"/>
              </w:rPr>
              <w:t xml:space="preserve">&lt; 18 mois</w:t>
            </w:r>
          </w:p>
          <w:p>
            <w:pPr>
              <w:spacing w:after="0" w:before="0"/>
              <w:jc w:val="center"/>
            </w:pPr>
            <w:r>
              <w:rPr>
                <w:rFonts w:ascii="Calibri" w:cs="Calibri" w:eastAsia="Calibri" w:hAnsi="Calibri"/>
                <w:color w:val="3A3A3C"/>
                <w:sz w:val="17"/>
                <w:szCs w:val="17"/>
              </w:rPr>
              <w:t xml:space="preserve">Retour sur investissement</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Présenté à : </w:t>
            </w:r>
            <w:r>
              <w:rPr>
                <w:rFonts w:ascii="Calibri" w:cs="Calibri" w:eastAsia="Calibri" w:hAnsi="Calibri"/>
                <w:color w:val="1C1C1E"/>
                <w:sz w:val="18"/>
                <w:szCs w:val="18"/>
              </w:rPr>
              <w:t xml:space="preserve">Monsieur le Directeur Général — Bethel Comprehensive Insurance Ltd</w:t>
            </w:r>
          </w:p>
        </w:tc>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Présenté par : </w:t>
            </w:r>
            <w:r>
              <w:rPr>
                <w:rFonts w:ascii="Calibri" w:cs="Calibri" w:eastAsia="Calibri" w:hAnsi="Calibri"/>
                <w:color w:val="1C1C1E"/>
                <w:sz w:val="18"/>
                <w:szCs w:val="18"/>
              </w:rPr>
              <w:t xml:space="preserve">L'Équipe Projet MOBI-ASSUR</w:t>
            </w:r>
          </w:p>
        </w:tc>
      </w:tr>
      <w:tr>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Référence : </w:t>
            </w:r>
            <w:r>
              <w:rPr>
                <w:rFonts w:ascii="Calibri" w:cs="Calibri" w:eastAsia="Calibri" w:hAnsi="Calibri"/>
                <w:color w:val="1C1C1E"/>
                <w:sz w:val="18"/>
                <w:szCs w:val="18"/>
              </w:rPr>
              <w:t xml:space="preserve">BP-MOBI-ASSUR-2026-003</w:t>
            </w:r>
          </w:p>
        </w:tc>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Date : </w:t>
            </w:r>
            <w:r>
              <w:rPr>
                <w:rFonts w:ascii="Calibri" w:cs="Calibri" w:eastAsia="Calibri" w:hAnsi="Calibri"/>
                <w:color w:val="1C1C1E"/>
                <w:sz w:val="18"/>
                <w:szCs w:val="18"/>
              </w:rPr>
              <w:t xml:space="preserve">Yaoundé, Juin 2026</w:t>
            </w:r>
          </w:p>
        </w:tc>
      </w:tr>
      <w:tr>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Statut : </w:t>
            </w:r>
            <w:r>
              <w:rPr>
                <w:rFonts w:ascii="Calibri" w:cs="Calibri" w:eastAsia="Calibri" w:hAnsi="Calibri"/>
                <w:color w:val="1C1C1E"/>
                <w:sz w:val="18"/>
                <w:szCs w:val="18"/>
              </w:rPr>
              <w:t xml:space="preserve">CONFIDENTIEL — Soumis pour décision et financement</w:t>
            </w:r>
          </w:p>
        </w:tc>
        <w:tc>
          <w:tcPr>
            <w:tcBorders>
              <w:top w:val="single" w:color="CFD8DC" w:sz="1"/>
              <w:left w:val="single" w:color="CFD8DC" w:sz="1"/>
              <w:bottom w:val="single" w:color="CFD8DC" w:sz="1"/>
              <w:right w:val="single" w:color="CFD8DC" w:sz="1"/>
            </w:tcBorders>
            <w:shd w:fill="F8F9FA" w:val="clear"/>
            <w:tcMar>
              <w:top w:type="dxa" w:w="80"/>
              <w:left w:type="dxa" w:w="160"/>
              <w:bottom w:type="dxa" w:w="80"/>
              <w:right w:type="dxa" w:w="160"/>
            </w:tcMar>
          </w:tcPr>
          <w:p>
            <w:r>
              <w:rPr>
                <w:rFonts w:ascii="Calibri" w:cs="Calibri" w:eastAsia="Calibri" w:hAnsi="Calibri"/>
                <w:b/>
                <w:bCs/>
                <w:color w:val="0D2137"/>
                <w:sz w:val="18"/>
                <w:szCs w:val="18"/>
              </w:rPr>
              <w:t xml:space="preserve">Version : </w:t>
            </w:r>
            <w:r>
              <w:rPr>
                <w:rFonts w:ascii="Calibri" w:cs="Calibri" w:eastAsia="Calibri" w:hAnsi="Calibri"/>
                <w:color w:val="1C1C1E"/>
                <w:sz w:val="18"/>
                <w:szCs w:val="18"/>
              </w:rPr>
              <w:t xml:space="preserve">3.0 — Finale</w:t>
            </w:r>
          </w:p>
        </w:tc>
      </w:tr>
    </w:tbl>
    <w:p>
      <w:pPr>
        <w:spacing w:after="40" w:before="40"/>
      </w:pPr>
      <w:r>
        <w:t xml:space="preserve"/>
      </w:r>
    </w:p>
    <w:p>
      <w:pPr>
        <w:spacing w:after="40" w:before="40"/>
      </w:pPr>
      <w:r>
        <w:t xml:space="preserve"/>
      </w:r>
    </w:p>
    <w:p>
      <w:pPr>
        <w:pBdr>
          <w:left w:val="single" w:color="1565C0" w:sz="28"/>
        </w:pBdr>
        <w:shd w:fill="E3F2FD" w:val="clear"/>
        <w:spacing w:after="120" w:before="120"/>
        <w:ind w:left="420" w:right="420"/>
      </w:pPr>
      <w:r>
        <w:rPr>
          <w:rFonts w:ascii="Calibri" w:cs="Calibri" w:eastAsia="Calibri" w:hAnsi="Calibri"/>
          <w:i/>
          <w:iCs/>
          <w:color w:val="0D2137"/>
          <w:sz w:val="23"/>
          <w:szCs w:val="23"/>
        </w:rPr>
        <w:t xml:space="preserve">« MOBI-ASSUR est l'outil qui permettra à Bethel Comprehensive Insurance Ltd de vendre partout, de tout contrôler, et de fidéliser chaque client — avec ou sans internet. »</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TABLE DES MATIÈRES</w:t>
      </w:r>
    </w:p>
    <w:p>
      <w:pPr>
        <w:pBdr>
          <w:bottom w:val="dotted" w:color="CFD8DC" w:sz="1"/>
        </w:pBdr>
        <w:spacing w:after="55" w:before="55"/>
      </w:pPr>
      <w:r>
        <w:rPr>
          <w:rFonts w:ascii="Calibri" w:cs="Calibri" w:eastAsia="Calibri" w:hAnsi="Calibri"/>
          <w:b/>
          <w:bCs/>
          <w:color w:val="1565C0"/>
          <w:sz w:val="22"/>
          <w:szCs w:val="22"/>
        </w:rPr>
        <w:t xml:space="preserve">1.   </w:t>
      </w:r>
      <w:r>
        <w:rPr>
          <w:rFonts w:ascii="Calibri" w:cs="Calibri" w:eastAsia="Calibri" w:hAnsi="Calibri"/>
          <w:color w:val="1C1C1E"/>
          <w:sz w:val="22"/>
          <w:szCs w:val="22"/>
        </w:rPr>
        <w:t xml:space="preserve">Résumé Exécutif (Executive Summary)</w:t>
      </w:r>
    </w:p>
    <w:p>
      <w:pPr>
        <w:pBdr>
          <w:bottom w:val="dotted" w:color="CFD8DC" w:sz="1"/>
        </w:pBdr>
        <w:spacing w:after="55" w:before="55"/>
      </w:pPr>
      <w:r>
        <w:rPr>
          <w:rFonts w:ascii="Calibri" w:cs="Calibri" w:eastAsia="Calibri" w:hAnsi="Calibri"/>
          <w:b/>
          <w:bCs/>
          <w:color w:val="1565C0"/>
          <w:sz w:val="22"/>
          <w:szCs w:val="22"/>
        </w:rPr>
        <w:t xml:space="preserve">2.   </w:t>
      </w:r>
      <w:r>
        <w:rPr>
          <w:rFonts w:ascii="Calibri" w:cs="Calibri" w:eastAsia="Calibri" w:hAnsi="Calibri"/>
          <w:color w:val="1C1C1E"/>
          <w:sz w:val="22"/>
          <w:szCs w:val="22"/>
        </w:rPr>
        <w:t xml:space="preserve">Présentation de l'Entreprise Porteuse du Projet</w:t>
      </w:r>
    </w:p>
    <w:p>
      <w:pPr>
        <w:pBdr>
          <w:bottom w:val="dotted" w:color="CFD8DC" w:sz="1"/>
        </w:pBdr>
        <w:spacing w:after="55" w:before="55"/>
      </w:pPr>
      <w:r>
        <w:rPr>
          <w:rFonts w:ascii="Calibri" w:cs="Calibri" w:eastAsia="Calibri" w:hAnsi="Calibri"/>
          <w:b/>
          <w:bCs/>
          <w:color w:val="1565C0"/>
          <w:sz w:val="22"/>
          <w:szCs w:val="22"/>
        </w:rPr>
        <w:t xml:space="preserve">3.   </w:t>
      </w:r>
      <w:r>
        <w:rPr>
          <w:rFonts w:ascii="Calibri" w:cs="Calibri" w:eastAsia="Calibri" w:hAnsi="Calibri"/>
          <w:color w:val="1C1C1E"/>
          <w:sz w:val="22"/>
          <w:szCs w:val="22"/>
        </w:rPr>
        <w:t xml:space="preserve">Analyse du Problème et Opportunité de Marché</w:t>
      </w:r>
    </w:p>
    <w:p>
      <w:pPr>
        <w:pBdr>
          <w:bottom w:val="dotted" w:color="CFD8DC" w:sz="1"/>
        </w:pBdr>
        <w:spacing w:after="55" w:before="55"/>
      </w:pPr>
      <w:r>
        <w:rPr>
          <w:rFonts w:ascii="Calibri" w:cs="Calibri" w:eastAsia="Calibri" w:hAnsi="Calibri"/>
          <w:b/>
          <w:bCs/>
          <w:color w:val="1565C0"/>
          <w:sz w:val="22"/>
          <w:szCs w:val="22"/>
        </w:rPr>
        <w:t xml:space="preserve">4.   </w:t>
      </w:r>
      <w:r>
        <w:rPr>
          <w:rFonts w:ascii="Calibri" w:cs="Calibri" w:eastAsia="Calibri" w:hAnsi="Calibri"/>
          <w:color w:val="1C1C1E"/>
          <w:sz w:val="22"/>
          <w:szCs w:val="22"/>
        </w:rPr>
        <w:t xml:space="preserve">La Solution : Description Détaillée de MOBI-ASSUR</w:t>
      </w:r>
    </w:p>
    <w:p>
      <w:pPr>
        <w:pBdr>
          <w:bottom w:val="dotted" w:color="CFD8DC" w:sz="1"/>
        </w:pBdr>
        <w:spacing w:after="55" w:before="55"/>
      </w:pPr>
      <w:r>
        <w:rPr>
          <w:rFonts w:ascii="Calibri" w:cs="Calibri" w:eastAsia="Calibri" w:hAnsi="Calibri"/>
          <w:b/>
          <w:bCs/>
          <w:color w:val="1565C0"/>
          <w:sz w:val="22"/>
          <w:szCs w:val="22"/>
        </w:rPr>
        <w:t xml:space="preserve">5.   </w:t>
      </w:r>
      <w:r>
        <w:rPr>
          <w:rFonts w:ascii="Calibri" w:cs="Calibri" w:eastAsia="Calibri" w:hAnsi="Calibri"/>
          <w:color w:val="1C1C1E"/>
          <w:sz w:val="22"/>
          <w:szCs w:val="22"/>
        </w:rPr>
        <w:t xml:space="preserve">Modèle Commercial et Sources de Revenus</w:t>
      </w:r>
    </w:p>
    <w:p>
      <w:pPr>
        <w:pBdr>
          <w:bottom w:val="dotted" w:color="CFD8DC" w:sz="1"/>
        </w:pBdr>
        <w:spacing w:after="55" w:before="55"/>
      </w:pPr>
      <w:r>
        <w:rPr>
          <w:rFonts w:ascii="Calibri" w:cs="Calibri" w:eastAsia="Calibri" w:hAnsi="Calibri"/>
          <w:b/>
          <w:bCs/>
          <w:color w:val="1565C0"/>
          <w:sz w:val="22"/>
          <w:szCs w:val="22"/>
        </w:rPr>
        <w:t xml:space="preserve">6.   </w:t>
      </w:r>
      <w:r>
        <w:rPr>
          <w:rFonts w:ascii="Calibri" w:cs="Calibri" w:eastAsia="Calibri" w:hAnsi="Calibri"/>
          <w:color w:val="1C1C1E"/>
          <w:sz w:val="22"/>
          <w:szCs w:val="22"/>
        </w:rPr>
        <w:t xml:space="preserve">Stratégie Marketing et Plan d'Acquisition</w:t>
      </w:r>
    </w:p>
    <w:p>
      <w:pPr>
        <w:pBdr>
          <w:bottom w:val="dotted" w:color="CFD8DC" w:sz="1"/>
        </w:pBdr>
        <w:spacing w:after="55" w:before="55"/>
      </w:pPr>
      <w:r>
        <w:rPr>
          <w:rFonts w:ascii="Calibri" w:cs="Calibri" w:eastAsia="Calibri" w:hAnsi="Calibri"/>
          <w:b/>
          <w:bCs/>
          <w:color w:val="1565C0"/>
          <w:sz w:val="22"/>
          <w:szCs w:val="22"/>
        </w:rPr>
        <w:t xml:space="preserve">7.   </w:t>
      </w:r>
      <w:r>
        <w:rPr>
          <w:rFonts w:ascii="Calibri" w:cs="Calibri" w:eastAsia="Calibri" w:hAnsi="Calibri"/>
          <w:color w:val="1C1C1E"/>
          <w:sz w:val="22"/>
          <w:szCs w:val="22"/>
        </w:rPr>
        <w:t xml:space="preserve">Opérations, Équipe et Structure de Gouvernance</w:t>
      </w:r>
    </w:p>
    <w:p>
      <w:pPr>
        <w:pBdr>
          <w:bottom w:val="dotted" w:color="CFD8DC" w:sz="1"/>
        </w:pBdr>
        <w:spacing w:after="55" w:before="55"/>
      </w:pPr>
      <w:r>
        <w:rPr>
          <w:rFonts w:ascii="Calibri" w:cs="Calibri" w:eastAsia="Calibri" w:hAnsi="Calibri"/>
          <w:b/>
          <w:bCs/>
          <w:color w:val="1565C0"/>
          <w:sz w:val="22"/>
          <w:szCs w:val="22"/>
        </w:rPr>
        <w:t xml:space="preserve">8.   </w:t>
      </w:r>
      <w:r>
        <w:rPr>
          <w:rFonts w:ascii="Calibri" w:cs="Calibri" w:eastAsia="Calibri" w:hAnsi="Calibri"/>
          <w:color w:val="1C1C1E"/>
          <w:sz w:val="22"/>
          <w:szCs w:val="22"/>
        </w:rPr>
        <w:t xml:space="preserve">Plan Financier Complet</w:t>
      </w:r>
    </w:p>
    <w:p>
      <w:pPr>
        <w:pBdr>
          <w:bottom w:val="dotted" w:color="CFD8DC" w:sz="1"/>
        </w:pBdr>
        <w:spacing w:after="55" w:before="55"/>
      </w:pPr>
      <w:r>
        <w:rPr>
          <w:rFonts w:ascii="Calibri" w:cs="Calibri" w:eastAsia="Calibri" w:hAnsi="Calibri"/>
          <w:b/>
          <w:bCs/>
          <w:color w:val="1565C0"/>
          <w:sz w:val="22"/>
          <w:szCs w:val="22"/>
        </w:rPr>
        <w:t xml:space="preserve">9.   </w:t>
      </w:r>
      <w:r>
        <w:rPr>
          <w:rFonts w:ascii="Calibri" w:cs="Calibri" w:eastAsia="Calibri" w:hAnsi="Calibri"/>
          <w:color w:val="1C1C1E"/>
          <w:sz w:val="22"/>
          <w:szCs w:val="22"/>
        </w:rPr>
        <w:t xml:space="preserve">Infrastructure et Coûts d'Hébergement Réels</w:t>
      </w:r>
    </w:p>
    <w:p>
      <w:pPr>
        <w:pBdr>
          <w:bottom w:val="dotted" w:color="CFD8DC" w:sz="1"/>
        </w:pBdr>
        <w:spacing w:after="55" w:before="55"/>
      </w:pPr>
      <w:r>
        <w:rPr>
          <w:rFonts w:ascii="Calibri" w:cs="Calibri" w:eastAsia="Calibri" w:hAnsi="Calibri"/>
          <w:b/>
          <w:bCs/>
          <w:color w:val="1565C0"/>
          <w:sz w:val="22"/>
          <w:szCs w:val="22"/>
        </w:rPr>
        <w:t xml:space="preserve">10.   </w:t>
      </w:r>
      <w:r>
        <w:rPr>
          <w:rFonts w:ascii="Calibri" w:cs="Calibri" w:eastAsia="Calibri" w:hAnsi="Calibri"/>
          <w:color w:val="1C1C1E"/>
          <w:sz w:val="22"/>
          <w:szCs w:val="22"/>
        </w:rPr>
        <w:t xml:space="preserve">Besoins en Financement et Utilisation des Fonds</w:t>
      </w:r>
    </w:p>
    <w:p>
      <w:pPr>
        <w:pBdr>
          <w:bottom w:val="dotted" w:color="CFD8DC" w:sz="1"/>
        </w:pBdr>
        <w:spacing w:after="55" w:before="55"/>
      </w:pPr>
      <w:r>
        <w:rPr>
          <w:rFonts w:ascii="Calibri" w:cs="Calibri" w:eastAsia="Calibri" w:hAnsi="Calibri"/>
          <w:b/>
          <w:bCs/>
          <w:color w:val="1565C0"/>
          <w:sz w:val="22"/>
          <w:szCs w:val="22"/>
        </w:rPr>
        <w:t xml:space="preserve">11.   </w:t>
      </w:r>
      <w:r>
        <w:rPr>
          <w:rFonts w:ascii="Calibri" w:cs="Calibri" w:eastAsia="Calibri" w:hAnsi="Calibri"/>
          <w:color w:val="1C1C1E"/>
          <w:sz w:val="22"/>
          <w:szCs w:val="22"/>
        </w:rPr>
        <w:t xml:space="preserve">Analyse des Risques et Plan de Mitigation</w:t>
      </w:r>
    </w:p>
    <w:p>
      <w:pPr>
        <w:pBdr>
          <w:bottom w:val="dotted" w:color="CFD8DC" w:sz="1"/>
        </w:pBdr>
        <w:spacing w:after="55" w:before="55"/>
      </w:pPr>
      <w:r>
        <w:rPr>
          <w:rFonts w:ascii="Calibri" w:cs="Calibri" w:eastAsia="Calibri" w:hAnsi="Calibri"/>
          <w:b/>
          <w:bCs/>
          <w:color w:val="1565C0"/>
          <w:sz w:val="22"/>
          <w:szCs w:val="22"/>
        </w:rPr>
        <w:t xml:space="preserve">12.   </w:t>
      </w:r>
      <w:r>
        <w:rPr>
          <w:rFonts w:ascii="Calibri" w:cs="Calibri" w:eastAsia="Calibri" w:hAnsi="Calibri"/>
          <w:color w:val="1C1C1E"/>
          <w:sz w:val="22"/>
          <w:szCs w:val="22"/>
        </w:rPr>
        <w:t xml:space="preserve">Pourquoi Nous Faire Confiance — Notre Engagement</w:t>
      </w:r>
    </w:p>
    <w:p>
      <w:pPr>
        <w:pBdr>
          <w:bottom w:val="dotted" w:color="CFD8DC" w:sz="1"/>
        </w:pBdr>
        <w:spacing w:after="55" w:before="55"/>
      </w:pPr>
      <w:r>
        <w:rPr>
          <w:rFonts w:ascii="Calibri" w:cs="Calibri" w:eastAsia="Calibri" w:hAnsi="Calibri"/>
          <w:b/>
          <w:bCs/>
          <w:color w:val="1565C0"/>
          <w:sz w:val="22"/>
          <w:szCs w:val="22"/>
        </w:rPr>
        <w:t xml:space="preserve">13.   </w:t>
      </w:r>
      <w:r>
        <w:rPr>
          <w:rFonts w:ascii="Calibri" w:cs="Calibri" w:eastAsia="Calibri" w:hAnsi="Calibri"/>
          <w:color w:val="1C1C1E"/>
          <w:sz w:val="22"/>
          <w:szCs w:val="22"/>
        </w:rPr>
        <w:t xml:space="preserve">Jalons, Livrables et Conditions de Validation</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1. RÉSUMÉ EXÉCUTIF</w:t>
      </w:r>
    </w:p>
    <w:p>
      <w:pPr>
        <w:shd w:fill="1A3A5C" w:val="clear"/>
        <w:spacing w:after="100" w:before="240"/>
      </w:pPr>
      <w:r>
        <w:rPr>
          <w:rFonts w:ascii="Calibri" w:cs="Calibri" w:eastAsia="Calibri" w:hAnsi="Calibri"/>
          <w:b/>
          <w:bCs/>
          <w:color w:val="FFFFFF"/>
          <w:sz w:val="30"/>
          <w:szCs w:val="30"/>
        </w:rPr>
        <w:t xml:space="preserve">Vue d'Ensemble</w:t>
      </w:r>
    </w:p>
    <w:p>
      <w:pPr>
        <w:spacing w:after="70" w:before="70"/>
      </w:pPr>
      <w:r>
        <w:rPr>
          <w:rFonts w:ascii="Calibri" w:cs="Calibri" w:eastAsia="Calibri" w:hAnsi="Calibri"/>
          <w:color w:val="1C1C1E"/>
          <w:sz w:val="22"/>
          <w:szCs w:val="22"/>
        </w:rPr>
        <w:t xml:space="preserve">MOBI-ASSUR Cameroun est une plateforme digitale complète de gestion des polices d'assurance automobile, conçue sur mesure pour Bethel Comprehensive Insurance Ltd (BCI). Elle remplace intégralement les fichiers Excel manuels et les processus fragmentés par un écosystème digital sécurisé, couvrant l'ensemble du cycle de vie d'un contrat d'assurance : prospection, souscription, encaissement, gestion de sinistres et renouvellement.</w:t>
      </w:r>
    </w:p>
    <w:p>
      <w:pPr>
        <w:spacing w:after="70" w:before="70"/>
      </w:pPr>
      <w:r>
        <w:rPr>
          <w:rFonts w:ascii="Calibri" w:cs="Calibri" w:eastAsia="Calibri" w:hAnsi="Calibri"/>
          <w:color w:val="1C1C1E"/>
          <w:sz w:val="22"/>
          <w:szCs w:val="22"/>
        </w:rPr>
        <w:t xml:space="preserve">Le projet est porté par une équipe pluridisciplinaire qui a réalisé, en amont de toute demande de financement, une analyse complète des processus de BCI, un cahier des charges fonctionnel de 60 pages, et un plan technique de résilience et sécurité. Ce travail préparatoire garantit la maîtrise du périmètre et du budget.</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Le Problème que Nous Résolvons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Problème Actuel</w:t>
            </w:r>
          </w:p>
        </w:tc>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Impact Financier Mensuel</w:t>
            </w:r>
          </w:p>
        </w:tc>
        <w:tc>
          <w:tcPr>
            <w:tcW w:type="dxa" w:w="41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Statut après MOBI-ASSUR</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Agents impossibilité de vendre sans réseau internet</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 – 1 500 000 FCFA de CA perdu</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Résolu : mode hors-ligne complet</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Erreurs de calcul taxes Excel (DTA 50 000 FCFA oubliée)</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200 000 – 800 000 FCFA de manque à gagner</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Résolu : calcul automatique inviolable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Clients non relancés avant échéance du contrat</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 à 40% des renouvellements perdus</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Résolu : relances SMS/Email/WhatsApp auto</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Commissions versées avant paiement effectif</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Perte de trésorerie directe et non contrôlée</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Résolu : déblocage lié au paiement réel</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Absence de visibilité temps réel pour la Direction</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Décisions prises sans données fiables</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Résolu : tableau de bord centralisé</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Résumé Financier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Indicateur</w:t>
            </w:r>
          </w:p>
        </w:tc>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Valeur</w:t>
            </w:r>
          </w:p>
        </w:tc>
        <w:tc>
          <w:tcPr>
            <w:tcW w:type="dxa" w:w="41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Commentaire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Investissement total requis</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12 000 000 FCFA</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Budget fixe, provisionné, engagé contractuellement</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Coût mensuel hébergement (démarrage)</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26 266 FCFA / mois</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Infrastructure phase pilote 1 agence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Coût mensuel hébergement (5 agences)</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135 582 FCFA / mois</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Infrastructure production nationale</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Gain estimé année 1</w:t>
            </w:r>
          </w:p>
        </w:tc>
        <w:tc>
          <w:tcPr>
            <w:tcW w:type="dxa" w:w="26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+ 13 000 000 à 21 400 000 FCFA</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Estimation conservative documentée</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Point de retour sur investissement</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13 à 18</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Selon scénario conservateur ou modéré</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Bénéfice net cumulé sur 3 ans</w:t>
            </w:r>
          </w:p>
        </w:tc>
        <w:tc>
          <w:tcPr>
            <w:tcW w:type="dxa" w:w="26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+ 41 000 000 FCFA</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Après déduction de tous les coûts</w:t>
            </w:r>
          </w:p>
        </w:tc>
      </w:tr>
      <w:tr>
        <w:tc>
          <w:tcPr>
            <w:tcW w:type="dxa" w:w="26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ROI sur 3 ans</w:t>
            </w:r>
          </w:p>
        </w:tc>
        <w:tc>
          <w:tcPr>
            <w:tcW w:type="dxa" w:w="26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+ 341%</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Retour sur investissement calculé nettement</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2. PRÉSENTATION DE L'ENTREPRISE PORTEUSE DU PROJET</w:t>
      </w:r>
    </w:p>
    <w:p>
      <w:pPr>
        <w:shd w:fill="1A3A5C" w:val="clear"/>
        <w:spacing w:after="100" w:before="240"/>
      </w:pPr>
      <w:r>
        <w:rPr>
          <w:rFonts w:ascii="Calibri" w:cs="Calibri" w:eastAsia="Calibri" w:hAnsi="Calibri"/>
          <w:b/>
          <w:bCs/>
          <w:color w:val="FFFFFF"/>
          <w:sz w:val="30"/>
          <w:szCs w:val="30"/>
        </w:rPr>
        <w:t xml:space="preserve">2.1 Qui Sommes-Nous</w:t>
      </w:r>
    </w:p>
    <w:p>
      <w:pPr>
        <w:spacing w:after="70" w:before="70"/>
      </w:pPr>
      <w:r>
        <w:rPr>
          <w:rFonts w:ascii="Calibri" w:cs="Calibri" w:eastAsia="Calibri" w:hAnsi="Calibri"/>
          <w:color w:val="1C1C1E"/>
          <w:sz w:val="22"/>
          <w:szCs w:val="22"/>
        </w:rPr>
        <w:t xml:space="preserve">Nous sommes une équipe de professionnels camerounais spécialisés dans la conception et le déploiement de solutions digitales métiers. Notre équipe réunit des compétences complémentaires : développement logiciel, architecture système, gestion de projet, et connaissance approfondie du secteur de l'assurance au Cameroun et en zone CEMAC.</w:t>
      </w:r>
    </w:p>
    <w:p>
      <w:pPr>
        <w:spacing w:after="70" w:before="70"/>
      </w:pPr>
      <w:r>
        <w:rPr>
          <w:rFonts w:ascii="Calibri" w:cs="Calibri" w:eastAsia="Calibri" w:hAnsi="Calibri"/>
          <w:color w:val="1C1C1E"/>
          <w:sz w:val="22"/>
          <w:szCs w:val="22"/>
        </w:rPr>
        <w:t xml:space="preserve">Notre démarche est celle de partenaires de transformation digitale, pas de simples prestataires informatiques. Nous nous impliquons dans la compréhension du métier de notre client, concevons des solutions adaptées à ses réalités terrain, et assurons un accompagnement jusqu'à l'autonomie complète de ses équipes.</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2.2 Notre Valeur Ajoutée Différenciante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90"/>
              <w:left w:type="dxa" w:w="200"/>
              <w:bottom w:type="dxa" w:w="90"/>
              <w:right w:type="dxa" w:w="200"/>
            </w:tcMar>
          </w:tcPr>
          <w:p>
            <w:r>
              <w:rPr>
                <w:rFonts w:ascii="Calibri" w:cs="Calibri" w:eastAsia="Calibri" w:hAnsi="Calibri"/>
                <w:b/>
                <w:bCs/>
                <w:color w:val="FFFFFF"/>
                <w:sz w:val="23"/>
                <w:szCs w:val="23"/>
              </w:rPr>
              <w:t xml:space="preserve">Ce qui nous distingue de tout autre prestataire informatique au Cameroun</w:t>
            </w:r>
          </w:p>
        </w:tc>
      </w:tr>
      <w:tr>
        <w:tc>
          <w:tcPr>
            <w:tcBorders>
              <w:top w:val="single" w:color="1565C0" w:sz="1"/>
              <w:left w:val="single" w:color="1565C0" w:sz="1"/>
              <w:bottom w:val="single" w:color="1565C0" w:sz="1"/>
              <w:right w:val="single" w:color="1565C0" w:sz="1"/>
            </w:tcBorders>
            <w:shd w:fill="E3F2FD" w:val="clear"/>
            <w:tcMar>
              <w:top w:type="dxa" w:w="110"/>
              <w:left w:type="dxa" w:w="200"/>
              <w:bottom w:type="dxa" w:w="110"/>
              <w:right w:type="dxa" w:w="200"/>
            </w:tcMar>
          </w:tcPr>
          <w:p>
            <w:pPr>
              <w:pStyle w:val="ListParagraph"/>
              <w:numPr>
                <w:ilvl w:val="0"/>
                <w:numId w:val="2"/>
              </w:numPr>
              <w:spacing w:after="45" w:before="45"/>
            </w:pPr>
            <w:r>
              <w:rPr>
                <w:rFonts w:ascii="Calibri" w:cs="Calibri" w:eastAsia="Calibri" w:hAnsi="Calibri"/>
                <w:color w:val="1C1C1E"/>
                <w:sz w:val="21"/>
                <w:szCs w:val="21"/>
              </w:rPr>
              <w:t xml:space="preserve">Connaissance métier : nous avons analysé les vraies fiches Excel de BCI, les vraies contraintes CIMA, les vraies difficultés de vos agents terrain avant d'écrire une seule ligne de code</w:t>
            </w:r>
          </w:p>
          <w:p>
            <w:pPr>
              <w:pStyle w:val="ListParagraph"/>
              <w:numPr>
                <w:ilvl w:val="0"/>
                <w:numId w:val="2"/>
              </w:numPr>
              <w:spacing w:after="45" w:before="45"/>
            </w:pPr>
            <w:r>
              <w:rPr>
                <w:rFonts w:ascii="Calibri" w:cs="Calibri" w:eastAsia="Calibri" w:hAnsi="Calibri"/>
                <w:color w:val="1C1C1E"/>
                <w:sz w:val="21"/>
                <w:szCs w:val="21"/>
              </w:rPr>
              <w:t xml:space="preserve">Travail préparatoire déjà accompli : Cahier des Charges Fonctionnel de 60 pages + Addendum Sécurité &amp; Résilience produits avant toute demande de financement</w:t>
            </w:r>
          </w:p>
          <w:p>
            <w:pPr>
              <w:pStyle w:val="ListParagraph"/>
              <w:numPr>
                <w:ilvl w:val="0"/>
                <w:numId w:val="2"/>
              </w:numPr>
              <w:spacing w:after="45" w:before="45"/>
            </w:pPr>
            <w:r>
              <w:rPr>
                <w:rFonts w:ascii="Calibri" w:cs="Calibri" w:eastAsia="Calibri" w:hAnsi="Calibri"/>
                <w:color w:val="1C1C1E"/>
                <w:sz w:val="21"/>
                <w:szCs w:val="21"/>
              </w:rPr>
              <w:t xml:space="preserve">Transparence financière totale : budget détaillé ligne par ligne, coûts d'hébergement réels avec tarifs publics vérifiables, provision d'imprévus explicitement incluse</w:t>
            </w:r>
          </w:p>
          <w:p>
            <w:pPr>
              <w:pStyle w:val="ListParagraph"/>
              <w:numPr>
                <w:ilvl w:val="0"/>
                <w:numId w:val="2"/>
              </w:numPr>
              <w:spacing w:after="45" w:before="45"/>
            </w:pPr>
            <w:r>
              <w:rPr>
                <w:rFonts w:ascii="Calibri" w:cs="Calibri" w:eastAsia="Calibri" w:hAnsi="Calibri"/>
                <w:color w:val="1C1C1E"/>
                <w:sz w:val="21"/>
                <w:szCs w:val="21"/>
              </w:rPr>
              <w:t xml:space="preserve">Engagement contractuel : prix fixe, paiement en 3 tranches liées aux livrables, propriété totale du code par BCI à la livraison</w:t>
            </w:r>
          </w:p>
          <w:p>
            <w:pPr>
              <w:pStyle w:val="ListParagraph"/>
              <w:numPr>
                <w:ilvl w:val="0"/>
                <w:numId w:val="2"/>
              </w:numPr>
              <w:spacing w:after="45" w:before="45"/>
            </w:pPr>
            <w:r>
              <w:rPr>
                <w:rFonts w:ascii="Calibri" w:cs="Calibri" w:eastAsia="Calibri" w:hAnsi="Calibri"/>
                <w:color w:val="1C1C1E"/>
                <w:sz w:val="21"/>
                <w:szCs w:val="21"/>
              </w:rPr>
              <w:t xml:space="preserve">Accompagnement post-livraison : 3 mois de support inclus, formation de toutes les équipes, documentation utilisateur en français</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2.3 Énoncé de Mission</w:t>
      </w:r>
    </w:p>
    <w:p>
      <w:pPr>
        <w:pBdr>
          <w:left w:val="single" w:color="1565C0" w:sz="28"/>
        </w:pBdr>
        <w:shd w:fill="E3F2FD" w:val="clear"/>
        <w:spacing w:after="120" w:before="120"/>
        <w:ind w:left="420" w:right="420"/>
      </w:pPr>
      <w:r>
        <w:rPr>
          <w:rFonts w:ascii="Calibri" w:cs="Calibri" w:eastAsia="Calibri" w:hAnsi="Calibri"/>
          <w:i/>
          <w:iCs/>
          <w:color w:val="0D2137"/>
          <w:sz w:val="23"/>
          <w:szCs w:val="23"/>
        </w:rPr>
        <w:t xml:space="preserve">Notre mission est de doter Bethel Comprehensive Insurance Ltd d'une infrastructure digitale souveraine qui lui permette de vendre plus, de contrôler mieux, et de fidéliser davantage — en respectant scrupuleusement les contraintes réglementaires CIMA et les réalités opérationnelles du marché camerounais.</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3. ANALYSE DU PROBLÈME ET OPPORTUNITÉ DE MARCHÉ</w:t>
      </w:r>
    </w:p>
    <w:p>
      <w:pPr>
        <w:shd w:fill="1A3A5C" w:val="clear"/>
        <w:spacing w:after="100" w:before="240"/>
      </w:pPr>
      <w:r>
        <w:rPr>
          <w:rFonts w:ascii="Calibri" w:cs="Calibri" w:eastAsia="Calibri" w:hAnsi="Calibri"/>
          <w:b/>
          <w:bCs/>
          <w:color w:val="FFFFFF"/>
          <w:sz w:val="30"/>
          <w:szCs w:val="30"/>
        </w:rPr>
        <w:t xml:space="preserve">3.1 Contexte du Secteur de l'Assurance au Cameroun</w:t>
      </w:r>
    </w:p>
    <w:p>
      <w:pPr>
        <w:spacing w:after="70" w:before="70"/>
      </w:pPr>
      <w:r>
        <w:rPr>
          <w:rFonts w:ascii="Calibri" w:cs="Calibri" w:eastAsia="Calibri" w:hAnsi="Calibri"/>
          <w:color w:val="1C1C1E"/>
          <w:sz w:val="22"/>
          <w:szCs w:val="22"/>
        </w:rPr>
        <w:t xml:space="preserve">Le marché de l'assurance automobile au Cameroun est régi par le Code CIMA (Conférence Interafricaine des Marchés d'Assurances) et supervisé par la Direction des Assurances du Ministère des Finances. Il représente le segment le plus important des primes d'assurance non-vie en Afrique Centrale, avec une croissance annuelle estimée entre 7 et 10%.</w:t>
      </w:r>
    </w:p>
    <w:p>
      <w:pPr>
        <w:spacing w:after="70" w:before="70"/>
      </w:pPr>
      <w:r>
        <w:rPr>
          <w:rFonts w:ascii="Calibri" w:cs="Calibri" w:eastAsia="Calibri" w:hAnsi="Calibri"/>
          <w:color w:val="1C1C1E"/>
          <w:sz w:val="22"/>
          <w:szCs w:val="22"/>
        </w:rPr>
        <w:t xml:space="preserve">Malgré ce potentiel, le secteur souffre d'un retard digital structurel. La majorité des compagnies, y compris Bethel Insurance, gèrent encore leur portefeuille via des fichiers Excel et des processus manuels, exposant la compagnie à des risques opérationnels, financiers et réglementaires croissants.</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3.2 Analyse des 5 Forces Concurrentielles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Force</w:t>
            </w:r>
          </w:p>
        </w:tc>
        <w:tc>
          <w:tcPr>
            <w:tcW w:type="dxa" w:w="41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Situation Actuelle pour BCI</w:t>
            </w:r>
          </w:p>
        </w:tc>
        <w:tc>
          <w:tcPr>
            <w:tcW w:type="dxa" w:w="30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Impact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Concurrence directe (autres assureurs)</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 digitalisent rapidement — risque de perte de parts de marché</w:t>
            </w:r>
          </w:p>
        </w:tc>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 — urgence d'agir</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Pouvoir des clients</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Clients de plus en plus exigeants sur la réactivité et le digital</w:t>
            </w:r>
          </w:p>
        </w:tc>
        <w:tc>
          <w:tcPr>
            <w:tcW w:type="dxa" w:w="3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 — fidélisation critique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Réglementation CIMA</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Exigences de traçabilité renforcées sur les imprimés physiques</w:t>
            </w:r>
          </w:p>
        </w:tc>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 — conformité non négociable</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Nouveaux entrants (insurtech)</w:t>
            </w:r>
          </w:p>
        </w:tc>
        <w:tc>
          <w:tcPr>
            <w:tcW w:type="dxa" w:w="4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Startups digitales qui vendent de l'assurance 100% en ligne</w:t>
            </w:r>
          </w:p>
        </w:tc>
        <w:tc>
          <w:tcPr>
            <w:tcW w:type="dxa" w:w="3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 — marché encore peu touché</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Substituts</w:t>
            </w:r>
          </w:p>
        </w:tc>
        <w:tc>
          <w:tcPr>
            <w:tcW w:type="dxa" w:w="4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Assurances informelles en zones rurales</w:t>
            </w:r>
          </w:p>
        </w:tc>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 — pénétration terrain nécessaire</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3.3 Analyse SWOT de BCI Sans MOBI-ASSUR vs. Avec MOBI-ASSUR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2E7D32" w:sz="1"/>
              <w:left w:val="single" w:color="2E7D32" w:sz="1"/>
              <w:bottom w:val="single" w:color="2E7D32" w:sz="1"/>
              <w:right w:val="single" w:color="2E7D32" w:sz="1"/>
            </w:tcBorders>
            <w:shd w:fill="E8F5E9" w:val="clear"/>
            <w:tcMar>
              <w:top w:type="dxa" w:w="100"/>
              <w:left w:type="dxa" w:w="180"/>
              <w:bottom w:type="dxa" w:w="100"/>
              <w:right w:type="dxa" w:w="180"/>
            </w:tcMar>
          </w:tcPr>
          <w:p>
            <w:pPr>
              <w:spacing w:after="70" w:before="0"/>
            </w:pPr>
            <w:r>
              <w:rPr>
                <w:rFonts w:ascii="Calibri" w:cs="Calibri" w:eastAsia="Calibri" w:hAnsi="Calibri"/>
                <w:b/>
                <w:bCs/>
                <w:color w:val="2E7D32"/>
                <w:sz w:val="21"/>
                <w:szCs w:val="21"/>
              </w:rPr>
              <w:t xml:space="preserve">✅  FORCES avec MOBI-ASSUR</w:t>
            </w:r>
          </w:p>
          <w:p>
            <w:pPr>
              <w:pStyle w:val="ListParagraph"/>
              <w:numPr>
                <w:ilvl w:val="0"/>
                <w:numId w:val="2"/>
              </w:numPr>
              <w:spacing w:after="35" w:before="35"/>
            </w:pPr>
            <w:r>
              <w:rPr>
                <w:rFonts w:ascii="Calibri" w:cs="Calibri" w:eastAsia="Calibri" w:hAnsi="Calibri"/>
                <w:color w:val="1C1C1E"/>
                <w:sz w:val="19"/>
                <w:szCs w:val="19"/>
              </w:rPr>
              <w:t xml:space="preserve">Vente terrain 100% hors-ligne</w:t>
            </w:r>
          </w:p>
          <w:p>
            <w:pPr>
              <w:pStyle w:val="ListParagraph"/>
              <w:numPr>
                <w:ilvl w:val="0"/>
                <w:numId w:val="2"/>
              </w:numPr>
              <w:spacing w:after="35" w:before="35"/>
            </w:pPr>
            <w:r>
              <w:rPr>
                <w:rFonts w:ascii="Calibri" w:cs="Calibri" w:eastAsia="Calibri" w:hAnsi="Calibri"/>
                <w:color w:val="1C1C1E"/>
                <w:sz w:val="19"/>
                <w:szCs w:val="19"/>
              </w:rPr>
              <w:t xml:space="preserve">Calcul de prime automatisé et inviolable</w:t>
            </w:r>
          </w:p>
          <w:p>
            <w:pPr>
              <w:pStyle w:val="ListParagraph"/>
              <w:numPr>
                <w:ilvl w:val="0"/>
                <w:numId w:val="2"/>
              </w:numPr>
              <w:spacing w:after="35" w:before="35"/>
            </w:pPr>
            <w:r>
              <w:rPr>
                <w:rFonts w:ascii="Calibri" w:cs="Calibri" w:eastAsia="Calibri" w:hAnsi="Calibri"/>
                <w:color w:val="1C1C1E"/>
                <w:sz w:val="19"/>
                <w:szCs w:val="19"/>
              </w:rPr>
              <w:t xml:space="preserve">Commissions transparentes et contrôlées</w:t>
            </w:r>
          </w:p>
          <w:p>
            <w:pPr>
              <w:pStyle w:val="ListParagraph"/>
              <w:numPr>
                <w:ilvl w:val="0"/>
                <w:numId w:val="2"/>
              </w:numPr>
              <w:spacing w:after="35" w:before="35"/>
            </w:pPr>
            <w:r>
              <w:rPr>
                <w:rFonts w:ascii="Calibri" w:cs="Calibri" w:eastAsia="Calibri" w:hAnsi="Calibri"/>
                <w:color w:val="1C1C1E"/>
                <w:sz w:val="19"/>
                <w:szCs w:val="19"/>
              </w:rPr>
              <w:t xml:space="preserve">Fidélisation client par relances automatiques</w:t>
            </w:r>
          </w:p>
          <w:p>
            <w:pPr>
              <w:pStyle w:val="ListParagraph"/>
              <w:numPr>
                <w:ilvl w:val="0"/>
                <w:numId w:val="2"/>
              </w:numPr>
              <w:spacing w:after="35" w:before="35"/>
            </w:pPr>
            <w:r>
              <w:rPr>
                <w:rFonts w:ascii="Calibri" w:cs="Calibri" w:eastAsia="Calibri" w:hAnsi="Calibri"/>
                <w:color w:val="1C1C1E"/>
                <w:sz w:val="19"/>
                <w:szCs w:val="19"/>
              </w:rPr>
              <w:t xml:space="preserve">Conformité CIMA garantie par design</w:t>
            </w:r>
          </w:p>
          <w:p>
            <w:pPr>
              <w:pStyle w:val="ListParagraph"/>
              <w:numPr>
                <w:ilvl w:val="0"/>
                <w:numId w:val="2"/>
              </w:numPr>
              <w:spacing w:after="35" w:before="35"/>
            </w:pPr>
            <w:r>
              <w:rPr>
                <w:rFonts w:ascii="Calibri" w:cs="Calibri" w:eastAsia="Calibri" w:hAnsi="Calibri"/>
                <w:color w:val="1C1C1E"/>
                <w:sz w:val="19"/>
                <w:szCs w:val="19"/>
              </w:rPr>
              <w:t xml:space="preserve">Tableau de bord direction en temps réel</w:t>
            </w:r>
          </w:p>
        </w:tc>
        <w:tc>
          <w:tcPr>
            <w:tcBorders>
              <w:top w:val="single" w:color="B71C1C" w:sz="1"/>
              <w:left w:val="single" w:color="B71C1C" w:sz="1"/>
              <w:bottom w:val="single" w:color="B71C1C" w:sz="1"/>
              <w:right w:val="single" w:color="B71C1C" w:sz="1"/>
            </w:tcBorders>
            <w:shd w:fill="FFEBEE" w:val="clear"/>
            <w:tcMar>
              <w:top w:type="dxa" w:w="100"/>
              <w:left w:type="dxa" w:w="180"/>
              <w:bottom w:type="dxa" w:w="100"/>
              <w:right w:type="dxa" w:w="180"/>
            </w:tcMar>
          </w:tcPr>
          <w:p>
            <w:pPr>
              <w:spacing w:after="70" w:before="0"/>
            </w:pPr>
            <w:r>
              <w:rPr>
                <w:rFonts w:ascii="Calibri" w:cs="Calibri" w:eastAsia="Calibri" w:hAnsi="Calibri"/>
                <w:b/>
                <w:bCs/>
                <w:color w:val="B71C1C"/>
                <w:sz w:val="21"/>
                <w:szCs w:val="21"/>
              </w:rPr>
              <w:t xml:space="preserve">❌  FAIBLESSES sans MOBI-ASSUR</w:t>
            </w:r>
          </w:p>
          <w:p>
            <w:pPr>
              <w:pStyle w:val="ListParagraph"/>
              <w:numPr>
                <w:ilvl w:val="0"/>
                <w:numId w:val="2"/>
              </w:numPr>
              <w:spacing w:after="35" w:before="35"/>
            </w:pPr>
            <w:r>
              <w:rPr>
                <w:rFonts w:ascii="Calibri" w:cs="Calibri" w:eastAsia="Calibri" w:hAnsi="Calibri"/>
                <w:color w:val="1C1C1E"/>
                <w:sz w:val="19"/>
                <w:szCs w:val="19"/>
              </w:rPr>
              <w:t xml:space="preserve">Agents bloqués sans réseau internet</w:t>
            </w:r>
          </w:p>
          <w:p>
            <w:pPr>
              <w:pStyle w:val="ListParagraph"/>
              <w:numPr>
                <w:ilvl w:val="0"/>
                <w:numId w:val="2"/>
              </w:numPr>
              <w:spacing w:after="35" w:before="35"/>
            </w:pPr>
            <w:r>
              <w:rPr>
                <w:rFonts w:ascii="Calibri" w:cs="Calibri" w:eastAsia="Calibri" w:hAnsi="Calibri"/>
                <w:color w:val="1C1C1E"/>
                <w:sz w:val="19"/>
                <w:szCs w:val="19"/>
              </w:rPr>
              <w:t xml:space="preserve">Erreurs fiscales fréquentes (DTA, TVA)</w:t>
            </w:r>
          </w:p>
          <w:p>
            <w:pPr>
              <w:pStyle w:val="ListParagraph"/>
              <w:numPr>
                <w:ilvl w:val="0"/>
                <w:numId w:val="2"/>
              </w:numPr>
              <w:spacing w:after="35" w:before="35"/>
            </w:pPr>
            <w:r>
              <w:rPr>
                <w:rFonts w:ascii="Calibri" w:cs="Calibri" w:eastAsia="Calibri" w:hAnsi="Calibri"/>
                <w:color w:val="1C1C1E"/>
                <w:sz w:val="19"/>
                <w:szCs w:val="19"/>
              </w:rPr>
              <w:t xml:space="preserve">Aucune visibilité direction en temps réel</w:t>
            </w:r>
          </w:p>
          <w:p>
            <w:pPr>
              <w:pStyle w:val="ListParagraph"/>
              <w:numPr>
                <w:ilvl w:val="0"/>
                <w:numId w:val="2"/>
              </w:numPr>
              <w:spacing w:after="35" w:before="35"/>
            </w:pPr>
            <w:r>
              <w:rPr>
                <w:rFonts w:ascii="Calibri" w:cs="Calibri" w:eastAsia="Calibri" w:hAnsi="Calibri"/>
                <w:color w:val="1C1C1E"/>
                <w:sz w:val="19"/>
                <w:szCs w:val="19"/>
              </w:rPr>
              <w:t xml:space="preserve">Commissions non contrôlées</w:t>
            </w:r>
          </w:p>
          <w:p>
            <w:pPr>
              <w:pStyle w:val="ListParagraph"/>
              <w:numPr>
                <w:ilvl w:val="0"/>
                <w:numId w:val="2"/>
              </w:numPr>
              <w:spacing w:after="35" w:before="35"/>
            </w:pPr>
            <w:r>
              <w:rPr>
                <w:rFonts w:ascii="Calibri" w:cs="Calibri" w:eastAsia="Calibri" w:hAnsi="Calibri"/>
                <w:color w:val="1C1C1E"/>
                <w:sz w:val="19"/>
                <w:szCs w:val="19"/>
              </w:rPr>
              <w:t xml:space="preserve">Perte de 30-40% des renouvellements</w:t>
            </w:r>
          </w:p>
          <w:p>
            <w:pPr>
              <w:pStyle w:val="ListParagraph"/>
              <w:numPr>
                <w:ilvl w:val="0"/>
                <w:numId w:val="2"/>
              </w:numPr>
              <w:spacing w:after="35" w:before="35"/>
            </w:pPr>
            <w:r>
              <w:rPr>
                <w:rFonts w:ascii="Calibri" w:cs="Calibri" w:eastAsia="Calibri" w:hAnsi="Calibri"/>
                <w:color w:val="1C1C1E"/>
                <w:sz w:val="19"/>
                <w:szCs w:val="19"/>
              </w:rPr>
              <w:t xml:space="preserve">Risque croissant de non-conformité CIMA</w:t>
            </w:r>
          </w:p>
        </w:tc>
      </w:tr>
      <w:tr>
        <w:tc>
          <w:tcPr>
            <w:tcBorders>
              <w:top w:val="single" w:color="1565C0" w:sz="1"/>
              <w:left w:val="single" w:color="1565C0" w:sz="1"/>
              <w:bottom w:val="single" w:color="1565C0" w:sz="1"/>
              <w:right w:val="single" w:color="1565C0" w:sz="1"/>
            </w:tcBorders>
            <w:shd w:fill="E3F2FD" w:val="clear"/>
            <w:tcMar>
              <w:top w:type="dxa" w:w="100"/>
              <w:left w:type="dxa" w:w="180"/>
              <w:bottom w:type="dxa" w:w="100"/>
              <w:right w:type="dxa" w:w="180"/>
            </w:tcMar>
          </w:tcPr>
          <w:p>
            <w:pPr>
              <w:spacing w:after="70" w:before="0"/>
            </w:pPr>
            <w:r>
              <w:rPr>
                <w:rFonts w:ascii="Calibri" w:cs="Calibri" w:eastAsia="Calibri" w:hAnsi="Calibri"/>
                <w:b/>
                <w:bCs/>
                <w:color w:val="1565C0"/>
                <w:sz w:val="21"/>
                <w:szCs w:val="21"/>
              </w:rPr>
              <w:t xml:space="preserve">🚀  OPPORTUNITÉS capturées</w:t>
            </w:r>
          </w:p>
          <w:p>
            <w:pPr>
              <w:pStyle w:val="ListParagraph"/>
              <w:numPr>
                <w:ilvl w:val="0"/>
                <w:numId w:val="2"/>
              </w:numPr>
              <w:spacing w:after="35" w:before="35"/>
            </w:pPr>
            <w:r>
              <w:rPr>
                <w:rFonts w:ascii="Calibri" w:cs="Calibri" w:eastAsia="Calibri" w:hAnsi="Calibri"/>
                <w:color w:val="1C1C1E"/>
                <w:sz w:val="19"/>
                <w:szCs w:val="19"/>
              </w:rPr>
              <w:t xml:space="preserve">Zones rurales et périurbaines sous-pénétrées</w:t>
            </w:r>
          </w:p>
          <w:p>
            <w:pPr>
              <w:pStyle w:val="ListParagraph"/>
              <w:numPr>
                <w:ilvl w:val="0"/>
                <w:numId w:val="2"/>
              </w:numPr>
              <w:spacing w:after="35" w:before="35"/>
            </w:pPr>
            <w:r>
              <w:rPr>
                <w:rFonts w:ascii="Calibri" w:cs="Calibri" w:eastAsia="Calibri" w:hAnsi="Calibri"/>
                <w:color w:val="1C1C1E"/>
                <w:sz w:val="19"/>
                <w:szCs w:val="19"/>
              </w:rPr>
              <w:t xml:space="preserve">Segment flottes d'entreprises en croissance</w:t>
            </w:r>
          </w:p>
          <w:p>
            <w:pPr>
              <w:pStyle w:val="ListParagraph"/>
              <w:numPr>
                <w:ilvl w:val="0"/>
                <w:numId w:val="2"/>
              </w:numPr>
              <w:spacing w:after="35" w:before="35"/>
            </w:pPr>
            <w:r>
              <w:rPr>
                <w:rFonts w:ascii="Calibri" w:cs="Calibri" w:eastAsia="Calibri" w:hAnsi="Calibri"/>
                <w:color w:val="1C1C1E"/>
                <w:sz w:val="19"/>
                <w:szCs w:val="19"/>
              </w:rPr>
              <w:t xml:space="preserve">Partenariat Mobile Money (Orange / MTN)</w:t>
            </w:r>
          </w:p>
          <w:p>
            <w:pPr>
              <w:pStyle w:val="ListParagraph"/>
              <w:numPr>
                <w:ilvl w:val="0"/>
                <w:numId w:val="2"/>
              </w:numPr>
              <w:spacing w:after="35" w:before="35"/>
            </w:pPr>
            <w:r>
              <w:rPr>
                <w:rFonts w:ascii="Calibri" w:cs="Calibri" w:eastAsia="Calibri" w:hAnsi="Calibri"/>
                <w:color w:val="1C1C1E"/>
                <w:sz w:val="19"/>
                <w:szCs w:val="19"/>
              </w:rPr>
              <w:t xml:space="preserve">Digitalisation avant les concurrents</w:t>
            </w:r>
          </w:p>
          <w:p>
            <w:pPr>
              <w:pStyle w:val="ListParagraph"/>
              <w:numPr>
                <w:ilvl w:val="0"/>
                <w:numId w:val="2"/>
              </w:numPr>
              <w:spacing w:after="35" w:before="35"/>
            </w:pPr>
            <w:r>
              <w:rPr>
                <w:rFonts w:ascii="Calibri" w:cs="Calibri" w:eastAsia="Calibri" w:hAnsi="Calibri"/>
                <w:color w:val="1C1C1E"/>
                <w:sz w:val="19"/>
                <w:szCs w:val="19"/>
              </w:rPr>
              <w:t xml:space="preserve">Extension future à d'autres lignes de produits</w:t>
            </w:r>
          </w:p>
        </w:tc>
        <w:tc>
          <w:tcPr>
            <w:tcBorders>
              <w:top w:val="single" w:color="E65100" w:sz="1"/>
              <w:left w:val="single" w:color="E65100" w:sz="1"/>
              <w:bottom w:val="single" w:color="E65100" w:sz="1"/>
              <w:right w:val="single" w:color="E65100" w:sz="1"/>
            </w:tcBorders>
            <w:shd w:fill="FFF3E0" w:val="clear"/>
            <w:tcMar>
              <w:top w:type="dxa" w:w="100"/>
              <w:left w:type="dxa" w:w="180"/>
              <w:bottom w:type="dxa" w:w="100"/>
              <w:right w:type="dxa" w:w="180"/>
            </w:tcMar>
          </w:tcPr>
          <w:p>
            <w:pPr>
              <w:spacing w:after="70" w:before="0"/>
            </w:pPr>
            <w:r>
              <w:rPr>
                <w:rFonts w:ascii="Calibri" w:cs="Calibri" w:eastAsia="Calibri" w:hAnsi="Calibri"/>
                <w:b/>
                <w:bCs/>
                <w:color w:val="E65100"/>
                <w:sz w:val="21"/>
                <w:szCs w:val="21"/>
              </w:rPr>
              <w:t xml:space="preserve">⚠️  MENACES mitigées</w:t>
            </w:r>
          </w:p>
          <w:p>
            <w:pPr>
              <w:pStyle w:val="ListParagraph"/>
              <w:numPr>
                <w:ilvl w:val="0"/>
                <w:numId w:val="2"/>
              </w:numPr>
              <w:spacing w:after="35" w:before="35"/>
            </w:pPr>
            <w:r>
              <w:rPr>
                <w:rFonts w:ascii="Calibri" w:cs="Calibri" w:eastAsia="Calibri" w:hAnsi="Calibri"/>
                <w:color w:val="1C1C1E"/>
                <w:sz w:val="19"/>
                <w:szCs w:val="19"/>
              </w:rPr>
              <w:t xml:space="preserve">Concurrents qui se digitalisent</w:t>
            </w:r>
          </w:p>
          <w:p>
            <w:pPr>
              <w:pStyle w:val="ListParagraph"/>
              <w:numPr>
                <w:ilvl w:val="0"/>
                <w:numId w:val="2"/>
              </w:numPr>
              <w:spacing w:after="35" w:before="35"/>
            </w:pPr>
            <w:r>
              <w:rPr>
                <w:rFonts w:ascii="Calibri" w:cs="Calibri" w:eastAsia="Calibri" w:hAnsi="Calibri"/>
                <w:color w:val="1C1C1E"/>
                <w:sz w:val="19"/>
                <w:szCs w:val="19"/>
              </w:rPr>
              <w:t xml:space="preserve">Insurtech internationaux entrant au Cameroun</w:t>
            </w:r>
          </w:p>
          <w:p>
            <w:pPr>
              <w:pStyle w:val="ListParagraph"/>
              <w:numPr>
                <w:ilvl w:val="0"/>
                <w:numId w:val="2"/>
              </w:numPr>
              <w:spacing w:after="35" w:before="35"/>
            </w:pPr>
            <w:r>
              <w:rPr>
                <w:rFonts w:ascii="Calibri" w:cs="Calibri" w:eastAsia="Calibri" w:hAnsi="Calibri"/>
                <w:color w:val="1C1C1E"/>
                <w:sz w:val="19"/>
                <w:szCs w:val="19"/>
              </w:rPr>
              <w:t xml:space="preserve">Durcissement réglementaire CIMA</w:t>
            </w:r>
          </w:p>
          <w:p>
            <w:pPr>
              <w:pStyle w:val="ListParagraph"/>
              <w:numPr>
                <w:ilvl w:val="0"/>
                <w:numId w:val="2"/>
              </w:numPr>
              <w:spacing w:after="35" w:before="35"/>
            </w:pPr>
            <w:r>
              <w:rPr>
                <w:rFonts w:ascii="Calibri" w:cs="Calibri" w:eastAsia="Calibri" w:hAnsi="Calibri"/>
                <w:color w:val="1C1C1E"/>
                <w:sz w:val="19"/>
                <w:szCs w:val="19"/>
              </w:rPr>
              <w:t xml:space="preserve">Fraude et double émission sur châssis</w:t>
            </w:r>
          </w:p>
          <w:p>
            <w:pPr>
              <w:pStyle w:val="ListParagraph"/>
              <w:numPr>
                <w:ilvl w:val="0"/>
                <w:numId w:val="2"/>
              </w:numPr>
              <w:spacing w:after="35" w:before="35"/>
            </w:pPr>
            <w:r>
              <w:rPr>
                <w:rFonts w:ascii="Calibri" w:cs="Calibri" w:eastAsia="Calibri" w:hAnsi="Calibri"/>
                <w:color w:val="1C1C1E"/>
                <w:sz w:val="19"/>
                <w:szCs w:val="19"/>
              </w:rPr>
              <w:t xml:space="preserve">Turnover des agents terrain</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3.4 Taille du Marché Adressable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Segment</w:t>
            </w:r>
          </w:p>
        </w:tc>
        <w:tc>
          <w:tcPr>
            <w:tcW w:type="dxa" w:w="35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Marché Addressable</w:t>
            </w:r>
          </w:p>
        </w:tc>
        <w:tc>
          <w:tcPr>
            <w:tcW w:type="dxa" w:w="3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Potentiel MOBI-ASSUR</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Marché total assurance auto Cameroun (TAM)</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Estimé &gt; 50 milliards FCFA/an</w:t>
            </w:r>
          </w:p>
        </w:tc>
        <w:tc>
          <w:tcPr>
            <w:tcW w:type="dxa" w:w="3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Digitalisation de l'ensemble du secteur</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Marché servi par BCI (SAM)</w:t>
            </w:r>
          </w:p>
        </w:tc>
        <w:tc>
          <w:tcPr>
            <w:tcW w:type="dxa" w:w="3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Portefeuille actuel BCI multi-agences</w:t>
            </w:r>
          </w:p>
        </w:tc>
        <w:tc>
          <w:tcPr>
            <w:tcW w:type="dxa" w:w="3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Optimisation et croissance du portefeuille existant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Marché immédiat à saisir (SOM — an 1)</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Zones rurales non couvertes + flottes entreprises</w:t>
            </w:r>
          </w:p>
        </w:tc>
        <w:tc>
          <w:tcPr>
            <w:tcW w:type="dxa" w:w="36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 à 25% de CA terrain dès l'année 1</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4. LA SOLUTION : MOBI-ASSUR EN DÉTAIL</w:t>
      </w:r>
    </w:p>
    <w:p>
      <w:pPr>
        <w:shd w:fill="1A3A5C" w:val="clear"/>
        <w:spacing w:after="100" w:before="240"/>
      </w:pPr>
      <w:r>
        <w:rPr>
          <w:rFonts w:ascii="Calibri" w:cs="Calibri" w:eastAsia="Calibri" w:hAnsi="Calibri"/>
          <w:b/>
          <w:bCs/>
          <w:color w:val="FFFFFF"/>
          <w:sz w:val="30"/>
          <w:szCs w:val="30"/>
        </w:rPr>
        <w:t xml:space="preserve">4.1 Description du Produit</w:t>
      </w:r>
    </w:p>
    <w:p>
      <w:pPr>
        <w:spacing w:after="70" w:before="70"/>
      </w:pPr>
      <w:r>
        <w:rPr>
          <w:rFonts w:ascii="Calibri" w:cs="Calibri" w:eastAsia="Calibri" w:hAnsi="Calibri"/>
          <w:color w:val="1C1C1E"/>
          <w:sz w:val="22"/>
          <w:szCs w:val="22"/>
        </w:rPr>
        <w:t xml:space="preserve">MOBI-ASSUR est un écosystème logiciel complet composé de trois interfaces interconnectées, toutes alimentées par un moteur central sécurisé hébergé sur serveur dédié.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2560"/>
        <w:gridCol w:w="3400"/>
      </w:tblGrid>
      <w:tr>
        <w:trPr>
          <w:tblHeader/>
        </w:trPr>
        <w:tc>
          <w:tcPr>
            <w:tcW w:type="dxa" w:w="17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Interface</w:t>
            </w:r>
          </w:p>
        </w:tc>
        <w:tc>
          <w:tcPr>
            <w:tcW w:type="dxa" w:w="17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Technologie</w:t>
            </w:r>
          </w:p>
        </w:tc>
        <w:tc>
          <w:tcPr>
            <w:tcW w:type="dxa" w:w="25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Utilisateurs</w:t>
            </w:r>
          </w:p>
        </w:tc>
        <w:tc>
          <w:tcPr>
            <w:tcW w:type="dxa" w:w="34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Mode de connexion</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App Mobile Agent Terrain</w:t>
            </w:r>
          </w:p>
        </w:tc>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Flutter 3 (Android &amp; iOS)</w:t>
            </w:r>
          </w:p>
        </w:tc>
        <w:tc>
          <w:tcPr>
            <w:tcW w:type="dxa" w:w="2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Agents apporteurs</w:t>
            </w:r>
          </w:p>
        </w:tc>
        <w:tc>
          <w:tcPr>
            <w:tcW w:type="dxa" w:w="3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Hors-ligne + En ligne</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Dashboard Web Direction &amp; Gestion</w:t>
            </w:r>
          </w:p>
        </w:tc>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Next.js 14 (React)</w:t>
            </w:r>
          </w:p>
        </w:tc>
        <w:tc>
          <w:tcPr>
            <w:tcW w:type="dxa" w:w="2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Responsables, Admins, Direction</w:t>
            </w:r>
          </w:p>
        </w:tc>
        <w:tc>
          <w:tcPr>
            <w:tcW w:type="dxa" w:w="3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Navigateur web sécurisé</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Espace Client (Web + Mobile)</w:t>
            </w:r>
          </w:p>
        </w:tc>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Next.js + Flutter</w:t>
            </w:r>
          </w:p>
        </w:tc>
        <w:tc>
          <w:tcPr>
            <w:tcW w:type="dxa" w:w="2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Clients assurés</w:t>
            </w:r>
          </w:p>
        </w:tc>
        <w:tc>
          <w:tcPr>
            <w:tcW w:type="dxa" w:w="3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Web + App mobile</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Moteur API Central (Back-Office)</w:t>
            </w:r>
          </w:p>
        </w:tc>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Python FastAPI + PostgreSQL</w:t>
            </w:r>
          </w:p>
        </w:tc>
        <w:tc>
          <w:tcPr>
            <w:tcW w:type="dxa" w:w="2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Serveur — invisible aux utilisateurs</w:t>
            </w:r>
          </w:p>
        </w:tc>
        <w:tc>
          <w:tcPr>
            <w:tcW w:type="dxa" w:w="3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Infrastructure sécurisée</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4.2 Fonctionnalités Clés</w:t>
      </w:r>
    </w:p>
    <w:p>
      <w:pPr>
        <w:pBdr>
          <w:bottom w:val="single" w:color="1565C0" w:sz="5"/>
        </w:pBdr>
        <w:spacing w:after="80" w:before="180"/>
      </w:pPr>
      <w:r>
        <w:rPr>
          <w:rFonts w:ascii="Calibri" w:cs="Calibri" w:eastAsia="Calibri" w:hAnsi="Calibri"/>
          <w:b/>
          <w:bCs/>
          <w:color w:val="1565C0"/>
          <w:sz w:val="25"/>
          <w:szCs w:val="25"/>
        </w:rPr>
        <w:t xml:space="preserve">A. Vente Hors-Ligne Totale — La Fonctionnalité Différenciante</w:t>
      </w:r>
    </w:p>
    <w:p>
      <w:pPr>
        <w:spacing w:after="70" w:before="70"/>
      </w:pPr>
      <w:r>
        <w:rPr>
          <w:rFonts w:ascii="Calibri" w:cs="Calibri" w:eastAsia="Calibri" w:hAnsi="Calibri"/>
          <w:color w:val="1C1C1E"/>
          <w:sz w:val="22"/>
          <w:szCs w:val="22"/>
        </w:rPr>
        <w:t xml:space="preserve">L'agent terrain ouvre son application sur son smartphone. Sans réseau internet, il enregistre le client (scan photo CNI + permis), saisit les données du véhicule, et obtient immédiatement le montant exact à payer — prime, taxes, Carte Rose, tout calculé automatiquement. Le dossier est sauvegardé chiffré sur le téléphone. Dès que l'agent retrouve du réseau, les dossiers se synchronisent automatiquement. Aucune vente ne se perd plus jamais faute de connexion.</w:t>
      </w:r>
    </w:p>
    <w:p>
      <w:pPr>
        <w:pBdr>
          <w:bottom w:val="single" w:color="1565C0" w:sz="5"/>
        </w:pBdr>
        <w:spacing w:after="80" w:before="180"/>
      </w:pPr>
      <w:r>
        <w:rPr>
          <w:rFonts w:ascii="Calibri" w:cs="Calibri" w:eastAsia="Calibri" w:hAnsi="Calibri"/>
          <w:b/>
          <w:bCs/>
          <w:color w:val="1565C0"/>
          <w:sz w:val="25"/>
          <w:szCs w:val="25"/>
        </w:rPr>
        <w:t xml:space="preserve">B. Moteur de Calcul Automatique et Inviolable</w:t>
      </w:r>
    </w:p>
    <w:p>
      <w:pPr>
        <w:spacing w:after="70" w:before="70"/>
      </w:pPr>
      <w:r>
        <w:rPr>
          <w:rFonts w:ascii="Calibri" w:cs="Calibri" w:eastAsia="Calibri" w:hAnsi="Calibri"/>
          <w:color w:val="1C1C1E"/>
          <w:sz w:val="22"/>
          <w:szCs w:val="22"/>
        </w:rPr>
        <w:t xml:space="preserve">La formule de calcul est intégrée au niveau du serveur central, pas dans les mains de l'agent. Prime Nette + Accessoires (2 500 FCFA) + ASAC (1 000 FCFA) + TVA + Carte Rose CEMAC (1 000 FCFA) + DTA (50 000 FCFA) = Prix Total TTC. L'agent voit le résultat. Il ne peut pas le modifier. Zéro erreur, zéro oubli, zéro fraude tarifaire.</w:t>
      </w:r>
    </w:p>
    <w:p>
      <w:pPr>
        <w:pBdr>
          <w:bottom w:val="single" w:color="1565C0" w:sz="5"/>
        </w:pBdr>
        <w:spacing w:after="80" w:before="180"/>
      </w:pPr>
      <w:r>
        <w:rPr>
          <w:rFonts w:ascii="Calibri" w:cs="Calibri" w:eastAsia="Calibri" w:hAnsi="Calibri"/>
          <w:b/>
          <w:bCs/>
          <w:color w:val="1565C0"/>
          <w:sz w:val="25"/>
          <w:szCs w:val="25"/>
        </w:rPr>
        <w:t xml:space="preserve">C. Gestion des Sinistres de Bout en Bout</w:t>
      </w:r>
    </w:p>
    <w:p>
      <w:pPr>
        <w:spacing w:after="70" w:before="70"/>
      </w:pPr>
      <w:r>
        <w:rPr>
          <w:rFonts w:ascii="Calibri" w:cs="Calibri" w:eastAsia="Calibri" w:hAnsi="Calibri"/>
          <w:color w:val="1C1C1E"/>
          <w:sz w:val="22"/>
          <w:szCs w:val="22"/>
        </w:rPr>
        <w:t xml:space="preserve">Le client déclare son sinistre depuis l'application mobile en quelques minutes : description, photos, vidéos. Le gestionnaire reçoit une alerte immédiate. Chaque étape du dossier (reçu, en instruction, expertise, approuvé, indemnisé) est visible par le client en temps réel. La direction peut suivre tous les sinistres actifs depuis son tableau de bord.</w:t>
      </w:r>
    </w:p>
    <w:p>
      <w:pPr>
        <w:pBdr>
          <w:bottom w:val="single" w:color="1565C0" w:sz="5"/>
        </w:pBdr>
        <w:spacing w:after="80" w:before="180"/>
      </w:pPr>
      <w:r>
        <w:rPr>
          <w:rFonts w:ascii="Calibri" w:cs="Calibri" w:eastAsia="Calibri" w:hAnsi="Calibri"/>
          <w:b/>
          <w:bCs/>
          <w:color w:val="1565C0"/>
          <w:sz w:val="25"/>
          <w:szCs w:val="25"/>
        </w:rPr>
        <w:t xml:space="preserve">D. Relances Automatiques Multi-Canaux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200"/>
        <w:gridCol w:w="4460"/>
      </w:tblGrid>
      <w:tr>
        <w:trPr>
          <w:tblHeader/>
        </w:trPr>
        <w:tc>
          <w:tcPr>
            <w:tcW w:type="dxa" w:w="27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Déclencheur automatique</w:t>
            </w:r>
          </w:p>
        </w:tc>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Canal</w:t>
            </w:r>
          </w:p>
        </w:tc>
        <w:tc>
          <w:tcPr>
            <w:tcW w:type="dxa" w:w="44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Objectif commercial</w:t>
            </w:r>
          </w:p>
        </w:tc>
      </w:tr>
      <w:tr>
        <w:tc>
          <w:tcPr>
            <w:tcW w:type="dxa" w:w="2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J-30 avant expiration contrat</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 Email</w:t>
            </w:r>
          </w:p>
        </w:tc>
        <w:tc>
          <w:tcPr>
            <w:tcW w:type="dxa" w:w="4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Rappel renouvellement — premier contact</w:t>
            </w:r>
          </w:p>
        </w:tc>
      </w:tr>
      <w:tr>
        <w:tc>
          <w:tcPr>
            <w:tcW w:type="dxa" w:w="2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J-15 avant expiration contrat</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 Notification Push</w:t>
            </w:r>
          </w:p>
        </w:tc>
        <w:tc>
          <w:tcPr>
            <w:tcW w:type="dxa" w:w="4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Rappel urgent — proposer devis de renouvellement</w:t>
            </w:r>
          </w:p>
        </w:tc>
      </w:tr>
      <w:tr>
        <w:tc>
          <w:tcPr>
            <w:tcW w:type="dxa" w:w="2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J-7 avant expiration contrat</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 Email + WhatsApp</w:t>
            </w:r>
          </w:p>
        </w:tc>
        <w:tc>
          <w:tcPr>
            <w:tcW w:type="dxa" w:w="4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Dernier rappel — lien de paiement direct</w:t>
            </w:r>
          </w:p>
        </w:tc>
      </w:tr>
      <w:tr>
        <w:tc>
          <w:tcPr>
            <w:tcW w:type="dxa" w:w="2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J+3 sans réponse prospect</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w:t>
            </w:r>
          </w:p>
        </w:tc>
        <w:tc>
          <w:tcPr>
            <w:tcW w:type="dxa" w:w="4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Suivi prospect — maintenir l'intérêt</w:t>
            </w:r>
          </w:p>
        </w:tc>
      </w:tr>
      <w:tr>
        <w:tc>
          <w:tcPr>
            <w:tcW w:type="dxa" w:w="2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J+7 sans souscription prospect</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Email personnalisé</w:t>
            </w:r>
          </w:p>
        </w:tc>
        <w:tc>
          <w:tcPr>
            <w:tcW w:type="dxa" w:w="4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Offre + témoignage — relancer la décision</w:t>
            </w:r>
          </w:p>
        </w:tc>
      </w:tr>
      <w:tr>
        <w:tc>
          <w:tcPr>
            <w:tcW w:type="dxa" w:w="2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Relance manuelle agent</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 WhatsApp / Email</w:t>
            </w:r>
          </w:p>
        </w:tc>
        <w:tc>
          <w:tcPr>
            <w:tcW w:type="dxa" w:w="4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À la discrétion et au jugement de l'agent</w:t>
            </w:r>
          </w:p>
        </w:tc>
      </w:tr>
    </w:tbl>
    <w:p>
      <w:pPr>
        <w:pBdr>
          <w:bottom w:val="single" w:color="1565C0" w:sz="5"/>
        </w:pBdr>
        <w:spacing w:after="80" w:before="180"/>
      </w:pPr>
      <w:r>
        <w:rPr>
          <w:rFonts w:ascii="Calibri" w:cs="Calibri" w:eastAsia="Calibri" w:hAnsi="Calibri"/>
          <w:b/>
          <w:bCs/>
          <w:color w:val="1565C0"/>
          <w:sz w:val="25"/>
          <w:szCs w:val="25"/>
        </w:rPr>
        <w:t xml:space="preserve">E. Sécurité des Commissions — Règle RG-02</w:t>
      </w:r>
    </w:p>
    <w:p>
      <w:pPr>
        <w:spacing w:after="70" w:before="70"/>
      </w:pPr>
      <w:r>
        <w:rPr>
          <w:rFonts w:ascii="Calibri" w:cs="Calibri" w:eastAsia="Calibri" w:hAnsi="Calibri"/>
          <w:color w:val="1C1C1E"/>
          <w:sz w:val="22"/>
          <w:szCs w:val="22"/>
        </w:rPr>
        <w:t xml:space="preserve">La commission d'un agent n'est visible et disponible que lorsque le statut du contrat est officiellement PAYÉ. Tant que le client n'a pas réglé, la commission reste bloquée et invisible. À la seconde où le paiement est confirmé (Mobile Money ou espèces validées par le gestionnaire), la commission est créditée et l'agent reçoit une notification immédiate sur son téléphone.</w:t>
      </w:r>
    </w:p>
    <w:p>
      <w:pPr>
        <w:pBdr>
          <w:bottom w:val="single" w:color="1565C0" w:sz="5"/>
        </w:pBdr>
        <w:spacing w:after="80" w:before="180"/>
      </w:pPr>
      <w:r>
        <w:rPr>
          <w:rFonts w:ascii="Calibri" w:cs="Calibri" w:eastAsia="Calibri" w:hAnsi="Calibri"/>
          <w:b/>
          <w:bCs/>
          <w:color w:val="1565C0"/>
          <w:sz w:val="25"/>
          <w:szCs w:val="25"/>
        </w:rPr>
        <w:t xml:space="preserve">F. Contrôle Anti-Fraude — Règle RG-03</w:t>
      </w:r>
    </w:p>
    <w:p>
      <w:pPr>
        <w:spacing w:after="70" w:before="70"/>
      </w:pPr>
      <w:r>
        <w:rPr>
          <w:rFonts w:ascii="Calibri" w:cs="Calibri" w:eastAsia="Calibri" w:hAnsi="Calibri"/>
          <w:color w:val="1C1C1E"/>
          <w:sz w:val="22"/>
          <w:szCs w:val="22"/>
        </w:rPr>
        <w:t xml:space="preserve">Lors de la synchronisation, chaque numéro de châssis est vérifié contre l'ensemble de la base de données nationale. Si le même châssis a été saisi par deux agents différents (fraude ou erreur), le dossier le plus récent est automatiquement bloqué et une alerte est envoyée au responsable d'agence. Aucune double assurance ne peut passer à travers ce filet.</w:t>
      </w:r>
    </w:p>
    <w:p>
      <w:pPr>
        <w:pBdr>
          <w:bottom w:val="single" w:color="1565C0" w:sz="5"/>
        </w:pBdr>
        <w:spacing w:after="80" w:before="180"/>
      </w:pPr>
      <w:r>
        <w:rPr>
          <w:rFonts w:ascii="Calibri" w:cs="Calibri" w:eastAsia="Calibri" w:hAnsi="Calibri"/>
          <w:b/>
          <w:bCs/>
          <w:color w:val="1565C0"/>
          <w:sz w:val="25"/>
          <w:szCs w:val="25"/>
        </w:rPr>
        <w:t xml:space="preserve">G. Clôture Réglementaire CIMA — Règle RG-04</w:t>
      </w:r>
    </w:p>
    <w:p>
      <w:pPr>
        <w:spacing w:after="70" w:before="70"/>
      </w:pPr>
      <w:r>
        <w:rPr>
          <w:rFonts w:ascii="Calibri" w:cs="Calibri" w:eastAsia="Calibri" w:hAnsi="Calibri"/>
          <w:color w:val="1C1C1E"/>
          <w:sz w:val="22"/>
          <w:szCs w:val="22"/>
        </w:rPr>
        <w:t xml:space="preserve">La remise d'un document physique officiel (Carte Rose CEMAC, Vignette ASAC) est conditionnée à la saisie obligatoire de son numéro de série dans le système. Impossible d'imprimer le reçu final sans cette saisie. Chaque document physique est traçable jusqu'au contrat numérique correspondant. Conformité CIMA 100% garantie par design.</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5. MODÈLE COMMERCIAL ET SOURCES DE REVENUS</w:t>
      </w:r>
    </w:p>
    <w:p>
      <w:pPr>
        <w:shd w:fill="1A3A5C" w:val="clear"/>
        <w:spacing w:after="100" w:before="240"/>
      </w:pPr>
      <w:r>
        <w:rPr>
          <w:rFonts w:ascii="Calibri" w:cs="Calibri" w:eastAsia="Calibri" w:hAnsi="Calibri"/>
          <w:b/>
          <w:bCs/>
          <w:color w:val="FFFFFF"/>
          <w:sz w:val="30"/>
          <w:szCs w:val="30"/>
        </w:rPr>
        <w:t xml:space="preserve">5.1 Positionnement Stratégique du Projet</w:t>
      </w:r>
    </w:p>
    <w:p>
      <w:pPr>
        <w:spacing w:after="70" w:before="70"/>
      </w:pPr>
      <w:r>
        <w:rPr>
          <w:rFonts w:ascii="Calibri" w:cs="Calibri" w:eastAsia="Calibri" w:hAnsi="Calibri"/>
          <w:color w:val="1C1C1E"/>
          <w:sz w:val="22"/>
          <w:szCs w:val="22"/>
        </w:rPr>
        <w:t xml:space="preserve">MOBI-ASSUR est développé comme une solution propriétaire exclusive pour Bethel Comprehensive Insurance Ltd. Il ne s'agit pas d'un produit vendu sur le marché, mais d'un investissement interne de BCI dans sa propre infrastructure digitale. La compagnie est l'unique bénéficiaire et propriétaire de la plateforme.</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5.2 Sources de Valeur Générées par MOBI-ASSUR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60"/>
        <w:gridCol w:w="3200"/>
      </w:tblGrid>
      <w:tr>
        <w:trPr>
          <w:tblHeader/>
        </w:trPr>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Source de valeur</w:t>
            </w:r>
          </w:p>
        </w:tc>
        <w:tc>
          <w:tcPr>
            <w:tcW w:type="dxa" w:w="35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Mécanisme</w:t>
            </w:r>
          </w:p>
        </w:tc>
        <w:tc>
          <w:tcPr>
            <w:tcW w:type="dxa" w:w="3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Gain potentiel/an</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Augmentation du chiffre d'affaires</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Ventes en zones sans réseau + flotte enterprise</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+ 6 000 000 à 8 000 000 FCFA</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Récupération des taxes perdues</w:t>
            </w:r>
          </w:p>
        </w:tc>
        <w:tc>
          <w:tcPr>
            <w:tcW w:type="dxa" w:w="3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DTA, TVA calculées sans erreur sur chaque contrat</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+ 2 400 000 à 4 800 000 FCFA</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Réduction de l'attrition client</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Relances automatiques avant échéance — fidélisation</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+ 3 000 000 à 6 000 000 FCFA</w:t>
            </w:r>
          </w:p>
        </w:tc>
      </w:tr>
      <w:tr>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Économies opérationnelles</w:t>
            </w:r>
          </w:p>
        </w:tc>
        <w:tc>
          <w:tcPr>
            <w:tcW w:type="dxa" w:w="3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Moins de saisie manuelle, rapports automatiques</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+ 600 000 à 1 200 000 FCFA</w:t>
            </w:r>
          </w:p>
        </w:tc>
      </w:tr>
      <w:tr>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Réduction des fraudes et litiges</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Contrôle châssis, commissions, imprimés physiques</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+ 1 000 000 à 2 000 000 FCFA</w:t>
            </w:r>
          </w:p>
        </w:tc>
      </w:tr>
      <w:tr>
        <w:tc>
          <w:tcPr>
            <w:tcW w:type="dxa" w:w="26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TOTAL VALEUR ANNUELLE GÉNÉRÉE</w:t>
            </w:r>
          </w:p>
        </w:tc>
        <w:tc>
          <w:tcPr>
            <w:tcW w:type="dxa" w:w="3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Estimation conservative</w:t>
            </w:r>
          </w:p>
        </w:tc>
        <w:tc>
          <w:tcPr>
            <w:tcW w:type="dxa" w:w="320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+13 000 000 à 22 000 000 FCFA</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5.3 Potentiel d'Extension à Moyen Terme</w:t>
      </w:r>
    </w:p>
    <w:p>
      <w:pPr>
        <w:pStyle w:val="ListParagraph"/>
        <w:numPr>
          <w:ilvl w:val="0"/>
          <w:numId w:val="2"/>
        </w:numPr>
        <w:spacing w:after="45" w:before="45"/>
      </w:pPr>
      <w:r>
        <w:rPr>
          <w:rFonts w:ascii="Calibri" w:cs="Calibri" w:eastAsia="Calibri" w:hAnsi="Calibri"/>
          <w:color w:val="1C1C1E"/>
          <w:sz w:val="21"/>
          <w:szCs w:val="21"/>
        </w:rPr>
        <w:t xml:space="preserve">Extension à d'autres branches : assurance moto, transport en commun, assurance habitation</w:t>
      </w:r>
    </w:p>
    <w:p>
      <w:pPr>
        <w:pStyle w:val="ListParagraph"/>
        <w:numPr>
          <w:ilvl w:val="0"/>
          <w:numId w:val="2"/>
        </w:numPr>
        <w:spacing w:after="45" w:before="45"/>
      </w:pPr>
      <w:r>
        <w:rPr>
          <w:rFonts w:ascii="Calibri" w:cs="Calibri" w:eastAsia="Calibri" w:hAnsi="Calibri"/>
          <w:color w:val="1C1C1E"/>
          <w:sz w:val="21"/>
          <w:szCs w:val="21"/>
        </w:rPr>
        <w:t xml:space="preserve">Commercialisation de la plateforme à d'autres compagnies d'assurance de la zone CEMAC</w:t>
      </w:r>
    </w:p>
    <w:p>
      <w:pPr>
        <w:pStyle w:val="ListParagraph"/>
        <w:numPr>
          <w:ilvl w:val="0"/>
          <w:numId w:val="2"/>
        </w:numPr>
        <w:spacing w:after="45" w:before="45"/>
      </w:pPr>
      <w:r>
        <w:rPr>
          <w:rFonts w:ascii="Calibri" w:cs="Calibri" w:eastAsia="Calibri" w:hAnsi="Calibri"/>
          <w:color w:val="1C1C1E"/>
          <w:sz w:val="21"/>
          <w:szCs w:val="21"/>
        </w:rPr>
        <w:t xml:space="preserve">Développement d'un module de microassurance pour les zones rurales à faibles revenus</w:t>
      </w:r>
    </w:p>
    <w:p>
      <w:pPr>
        <w:pStyle w:val="ListParagraph"/>
        <w:numPr>
          <w:ilvl w:val="0"/>
          <w:numId w:val="2"/>
        </w:numPr>
        <w:spacing w:after="45" w:before="45"/>
      </w:pPr>
      <w:r>
        <w:rPr>
          <w:rFonts w:ascii="Calibri" w:cs="Calibri" w:eastAsia="Calibri" w:hAnsi="Calibri"/>
          <w:color w:val="1C1C1E"/>
          <w:sz w:val="21"/>
          <w:szCs w:val="21"/>
        </w:rPr>
        <w:t xml:space="preserve">Partenariat avec des plateformes fintech (Mobile Money, banques) pour des offres couplées</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6. STRATÉGIE MARKETING ET PLAN D'ACQUISITION</w:t>
      </w:r>
    </w:p>
    <w:p>
      <w:pPr>
        <w:shd w:fill="1A3A5C" w:val="clear"/>
        <w:spacing w:after="100" w:before="240"/>
      </w:pPr>
      <w:r>
        <w:rPr>
          <w:rFonts w:ascii="Calibri" w:cs="Calibri" w:eastAsia="Calibri" w:hAnsi="Calibri"/>
          <w:b/>
          <w:bCs/>
          <w:color w:val="FFFFFF"/>
          <w:sz w:val="30"/>
          <w:szCs w:val="30"/>
        </w:rPr>
        <w:t xml:space="preserve">6.1 Stratégie de Déploiement Commercial</w:t>
      </w:r>
    </w:p>
    <w:p>
      <w:pPr>
        <w:spacing w:after="70" w:before="70"/>
      </w:pPr>
      <w:r>
        <w:rPr>
          <w:rFonts w:ascii="Calibri" w:cs="Calibri" w:eastAsia="Calibri" w:hAnsi="Calibri"/>
          <w:color w:val="1C1C1E"/>
          <w:sz w:val="22"/>
          <w:szCs w:val="22"/>
        </w:rPr>
        <w:t xml:space="preserve">La stratégie d'adoption de MOBI-ASSUR au sein de BCI suit une approche en trois vagues successives, permettant de valider le système sur un périmètre limité avant un déploiement national.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600"/>
        <w:gridCol w:w="1200"/>
        <w:gridCol w:w="3860"/>
      </w:tblGrid>
      <w:tr>
        <w:trPr>
          <w:tblHeader/>
        </w:trPr>
        <w:tc>
          <w:tcPr>
            <w:tcW w:type="dxa" w:w="17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Vague</w:t>
            </w:r>
          </w:p>
        </w:tc>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Cible</w:t>
            </w:r>
          </w:p>
        </w:tc>
        <w:tc>
          <w:tcPr>
            <w:tcW w:type="dxa" w:w="1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Durée</w:t>
            </w:r>
          </w:p>
        </w:tc>
        <w:tc>
          <w:tcPr>
            <w:tcW w:type="dxa" w:w="38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Objectif</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Vague 1 — Agence Pilote</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agence choisie par la Direction (Douala ou Yaoundé)</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7-8</w:t>
            </w:r>
          </w:p>
        </w:tc>
        <w:tc>
          <w:tcPr>
            <w:tcW w:type="dxa" w:w="38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Valider le système en conditions réelles, former les équipes clés</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Vague 2 — Réseau Régional</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agences additionnelles (Ngaoundéré, Bafoussam, Garoua)</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9-12</w:t>
            </w:r>
          </w:p>
        </w:tc>
        <w:tc>
          <w:tcPr>
            <w:tcW w:type="dxa" w:w="38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Étendre le déploiement, capitaliser sur les leçons du pilote</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Vague 3 — Déploiement National</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Toutes les agences BCI</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12+</w:t>
            </w:r>
          </w:p>
        </w:tc>
        <w:tc>
          <w:tcPr>
            <w:tcW w:type="dxa" w:w="38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Couverture nationale complète, activation du mode hors-ligne dans toutes les zones</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6.2 Plan d'Adoption Interne — Convaincre les Agents Terrain</w:t>
      </w:r>
    </w:p>
    <w:p>
      <w:pPr>
        <w:spacing w:after="70" w:before="70"/>
      </w:pPr>
      <w:r>
        <w:rPr>
          <w:rFonts w:ascii="Calibri" w:cs="Calibri" w:eastAsia="Calibri" w:hAnsi="Calibri"/>
          <w:color w:val="1C1C1E"/>
          <w:sz w:val="22"/>
          <w:szCs w:val="22"/>
        </w:rPr>
        <w:t xml:space="preserve">Le principal défi d'adoption n'est pas technique — c'est humain. Les agents terrain habitués à Excel peuvent être résistants au changement. Notre plan d'accompagnement au changement comprend :</w:t>
      </w:r>
    </w:p>
    <w:p>
      <w:pPr>
        <w:pStyle w:val="ListParagraph"/>
        <w:numPr>
          <w:ilvl w:val="0"/>
          <w:numId w:val="2"/>
        </w:numPr>
        <w:spacing w:after="45" w:before="45"/>
      </w:pPr>
      <w:r>
        <w:rPr>
          <w:rFonts w:ascii="Calibri" w:cs="Calibri" w:eastAsia="Calibri" w:hAnsi="Calibri"/>
          <w:color w:val="1C1C1E"/>
          <w:sz w:val="21"/>
          <w:szCs w:val="21"/>
        </w:rPr>
        <w:t xml:space="preserve">Démonstration terrain par un agent champion : un agent volontaire et enthousiaste forme ses collègues</w:t>
      </w:r>
    </w:p>
    <w:p>
      <w:pPr>
        <w:pStyle w:val="ListParagraph"/>
        <w:numPr>
          <w:ilvl w:val="0"/>
          <w:numId w:val="2"/>
        </w:numPr>
        <w:spacing w:after="45" w:before="45"/>
      </w:pPr>
      <w:r>
        <w:rPr>
          <w:rFonts w:ascii="Calibri" w:cs="Calibri" w:eastAsia="Calibri" w:hAnsi="Calibri"/>
          <w:color w:val="1C1C1E"/>
          <w:sz w:val="21"/>
          <w:szCs w:val="21"/>
        </w:rPr>
        <w:t xml:space="preserve">Formation pratique de 1 jour sur site avec chaque équipe d'agence — application en main</w:t>
      </w:r>
    </w:p>
    <w:p>
      <w:pPr>
        <w:pStyle w:val="ListParagraph"/>
        <w:numPr>
          <w:ilvl w:val="0"/>
          <w:numId w:val="2"/>
        </w:numPr>
        <w:spacing w:after="45" w:before="45"/>
      </w:pPr>
      <w:r>
        <w:rPr>
          <w:rFonts w:ascii="Calibri" w:cs="Calibri" w:eastAsia="Calibri" w:hAnsi="Calibri"/>
          <w:color w:val="1C1C1E"/>
          <w:sz w:val="21"/>
          <w:szCs w:val="21"/>
        </w:rPr>
        <w:t xml:space="preserve">Manuel utilisateur illustré en français, adapté aux non-techniciens</w:t>
      </w:r>
    </w:p>
    <w:p>
      <w:pPr>
        <w:pStyle w:val="ListParagraph"/>
        <w:numPr>
          <w:ilvl w:val="0"/>
          <w:numId w:val="2"/>
        </w:numPr>
        <w:spacing w:after="45" w:before="45"/>
      </w:pPr>
      <w:r>
        <w:rPr>
          <w:rFonts w:ascii="Calibri" w:cs="Calibri" w:eastAsia="Calibri" w:hAnsi="Calibri"/>
          <w:color w:val="1C1C1E"/>
          <w:sz w:val="21"/>
          <w:szCs w:val="21"/>
        </w:rPr>
        <w:t xml:space="preserve">Ligne de support dédiée pendant les 3 premiers mois : l'équipe technique répond en moins de 4 heures</w:t>
      </w:r>
    </w:p>
    <w:p>
      <w:pPr>
        <w:pStyle w:val="ListParagraph"/>
        <w:numPr>
          <w:ilvl w:val="0"/>
          <w:numId w:val="2"/>
        </w:numPr>
        <w:spacing w:after="45" w:before="45"/>
      </w:pPr>
      <w:r>
        <w:rPr>
          <w:rFonts w:ascii="Calibri" w:cs="Calibri" w:eastAsia="Calibri" w:hAnsi="Calibri"/>
          <w:color w:val="1C1C1E"/>
          <w:sz w:val="21"/>
          <w:szCs w:val="21"/>
        </w:rPr>
        <w:t xml:space="preserve">Incentive financier : les agents qui atteignent un quota de synchronisation dans les 30 premiers jours reçoivent une prime</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6.3 Stratégie de Communication Client Final</w:t>
      </w:r>
    </w:p>
    <w:p>
      <w:pPr>
        <w:spacing w:after="70" w:before="70"/>
      </w:pPr>
      <w:r>
        <w:rPr>
          <w:rFonts w:ascii="Calibri" w:cs="Calibri" w:eastAsia="Calibri" w:hAnsi="Calibri"/>
          <w:color w:val="1C1C1E"/>
          <w:sz w:val="22"/>
          <w:szCs w:val="22"/>
        </w:rPr>
        <w:t xml:space="preserve">Pour que les clients assurés adoptent l'espace client digital (consultation de police, déclaration de sinistre, renouvellement en ligne) :</w:t>
      </w:r>
    </w:p>
    <w:p>
      <w:pPr>
        <w:pStyle w:val="ListParagraph"/>
        <w:numPr>
          <w:ilvl w:val="0"/>
          <w:numId w:val="2"/>
        </w:numPr>
        <w:spacing w:after="45" w:before="45"/>
      </w:pPr>
      <w:r>
        <w:rPr>
          <w:rFonts w:ascii="Calibri" w:cs="Calibri" w:eastAsia="Calibri" w:hAnsi="Calibri"/>
          <w:color w:val="1C1C1E"/>
          <w:sz w:val="21"/>
          <w:szCs w:val="21"/>
        </w:rPr>
        <w:t xml:space="preserve">Campagne SMS à l'ensemble du portefeuille BCI au lancement : 'Votre espace personnel en ligne est prêt — accédez à vos documents 24h/24'</w:t>
      </w:r>
    </w:p>
    <w:p>
      <w:pPr>
        <w:pStyle w:val="ListParagraph"/>
        <w:numPr>
          <w:ilvl w:val="0"/>
          <w:numId w:val="2"/>
        </w:numPr>
        <w:spacing w:after="45" w:before="45"/>
      </w:pPr>
      <w:r>
        <w:rPr>
          <w:rFonts w:ascii="Calibri" w:cs="Calibri" w:eastAsia="Calibri" w:hAnsi="Calibri"/>
          <w:color w:val="1C1C1E"/>
          <w:sz w:val="21"/>
          <w:szCs w:val="21"/>
        </w:rPr>
        <w:t xml:space="preserve">Formation des agents terrain à présenter l'app au client au moment de la remise des documents</w:t>
      </w:r>
    </w:p>
    <w:p>
      <w:pPr>
        <w:pStyle w:val="ListParagraph"/>
        <w:numPr>
          <w:ilvl w:val="0"/>
          <w:numId w:val="2"/>
        </w:numPr>
        <w:spacing w:after="45" w:before="45"/>
      </w:pPr>
      <w:r>
        <w:rPr>
          <w:rFonts w:ascii="Calibri" w:cs="Calibri" w:eastAsia="Calibri" w:hAnsi="Calibri"/>
          <w:color w:val="1C1C1E"/>
          <w:sz w:val="21"/>
          <w:szCs w:val="21"/>
        </w:rPr>
        <w:t xml:space="preserve">Communication sur les bénéfices concrets : 'Suivez votre sinistre en temps réel depuis votre téléphone'</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7. OPÉRATIONS, ÉQUIPE ET STRUCTURE DE GOUVERNANCE</w:t>
      </w:r>
    </w:p>
    <w:p>
      <w:pPr>
        <w:shd w:fill="1A3A5C" w:val="clear"/>
        <w:spacing w:after="100" w:before="240"/>
      </w:pPr>
      <w:r>
        <w:rPr>
          <w:rFonts w:ascii="Calibri" w:cs="Calibri" w:eastAsia="Calibri" w:hAnsi="Calibri"/>
          <w:b/>
          <w:bCs/>
          <w:color w:val="FFFFFF"/>
          <w:sz w:val="30"/>
          <w:szCs w:val="30"/>
        </w:rPr>
        <w:t xml:space="preserve">7.1 Composition de l'Équipe de Réalisation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3400"/>
        <w:gridCol w:w="2060"/>
      </w:tblGrid>
      <w:tr>
        <w:trPr>
          <w:tblHeader/>
        </w:trPr>
        <w:tc>
          <w:tcPr>
            <w:tcW w:type="dxa" w:w="17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Rôle</w:t>
            </w:r>
          </w:p>
        </w:tc>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Profil &amp; Expérience requise</w:t>
            </w:r>
          </w:p>
        </w:tc>
        <w:tc>
          <w:tcPr>
            <w:tcW w:type="dxa" w:w="34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Responsabilités principales</w:t>
            </w:r>
          </w:p>
        </w:tc>
        <w:tc>
          <w:tcPr>
            <w:tcW w:type="dxa" w:w="20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Statut</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Chef de Projet (Côté BCI)</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Responsable agence ou manager senior BCI</w:t>
            </w:r>
          </w:p>
        </w:tc>
        <w:tc>
          <w:tcPr>
            <w:tcW w:type="dxa" w:w="3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jalons, interface direction, coordination</w:t>
            </w:r>
          </w:p>
        </w:tc>
        <w:tc>
          <w:tcPr>
            <w:tcW w:type="dxa" w:w="20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Interne BCI — à désigner</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Lead Développeur Backend</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Python FastAPI + PostgreSQL — 4+ ans</w:t>
            </w:r>
          </w:p>
        </w:tc>
        <w:tc>
          <w:tcPr>
            <w:tcW w:type="dxa" w:w="3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Moteur calcul, API, sécurité, base de données</w:t>
            </w:r>
          </w:p>
        </w:tc>
        <w:tc>
          <w:tcPr>
            <w:tcW w:type="dxa" w:w="20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Prestataire externe</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Développeur Senior Mobile</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Flutter 3 + mode offline — 3+ ans</w:t>
            </w:r>
          </w:p>
        </w:tc>
        <w:tc>
          <w:tcPr>
            <w:tcW w:type="dxa" w:w="3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Application agent terrain, sync, chiffrement</w:t>
            </w:r>
          </w:p>
        </w:tc>
        <w:tc>
          <w:tcPr>
            <w:tcW w:type="dxa" w:w="20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Prestataire externe</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Développeur Frontend Web</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Next.js 14 + React — 3+ ans</w:t>
            </w:r>
          </w:p>
        </w:tc>
        <w:tc>
          <w:tcPr>
            <w:tcW w:type="dxa" w:w="3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Dashboard direction, espace client web</w:t>
            </w:r>
          </w:p>
        </w:tc>
        <w:tc>
          <w:tcPr>
            <w:tcW w:type="dxa" w:w="20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Prestataire externe</w:t>
            </w:r>
          </w:p>
        </w:tc>
      </w:tr>
      <w:tr>
        <w:tc>
          <w:tcPr>
            <w:tcW w:type="dxa" w:w="17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Ingénieur DevOps</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Docker + Linux + CI/CD — 2+ ans</w:t>
            </w:r>
          </w:p>
        </w:tc>
        <w:tc>
          <w:tcPr>
            <w:tcW w:type="dxa" w:w="3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Infrastructure serveur, déploiement, monitoring</w:t>
            </w:r>
          </w:p>
        </w:tc>
        <w:tc>
          <w:tcPr>
            <w:tcW w:type="dxa" w:w="20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Prestataire externe</w:t>
            </w:r>
          </w:p>
        </w:tc>
      </w:tr>
      <w:tr>
        <w:tc>
          <w:tcPr>
            <w:tcW w:type="dxa" w:w="17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Référent Métier Assurance (BCI)</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Expert CIMA + processus BCI</w:t>
            </w:r>
          </w:p>
        </w:tc>
        <w:tc>
          <w:tcPr>
            <w:tcW w:type="dxa" w:w="3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règles métier, recette utilisateur</w:t>
            </w:r>
          </w:p>
        </w:tc>
        <w:tc>
          <w:tcPr>
            <w:tcW w:type="dxa" w:w="20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Interne BCI — à désigner</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7.2 Structure de Gouvernance du Projet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1600"/>
        <w:gridCol w:w="3260"/>
      </w:tblGrid>
      <w:tr>
        <w:trPr>
          <w:tblHeader/>
        </w:trPr>
        <w:tc>
          <w:tcPr>
            <w:tcW w:type="dxa" w:w="19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Instance</w:t>
            </w:r>
          </w:p>
        </w:tc>
        <w:tc>
          <w:tcPr>
            <w:tcW w:type="dxa" w:w="2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Membres</w:t>
            </w:r>
          </w:p>
        </w:tc>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Fréquence</w:t>
            </w:r>
          </w:p>
        </w:tc>
        <w:tc>
          <w:tcPr>
            <w:tcW w:type="dxa" w:w="32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Rôle</w:t>
            </w:r>
          </w:p>
        </w:tc>
      </w:tr>
      <w:tr>
        <w:tc>
          <w:tcPr>
            <w:tcW w:type="dxa" w:w="1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Comité de Pilotage</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DG BCI + Chef de Projet + Lead Développeur</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Mensuelle</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jalons, décisions stratégiques, déblocage tranches</w:t>
            </w:r>
          </w:p>
        </w:tc>
      </w:tr>
      <w:tr>
        <w:tc>
          <w:tcPr>
            <w:tcW w:type="dxa" w:w="1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Réunion Technique</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Chef de Projet + Équipe développement</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Hebdomadaire</w:t>
            </w:r>
          </w:p>
        </w:tc>
        <w:tc>
          <w:tcPr>
            <w:tcW w:type="dxa" w:w="3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Suivi avancement, résolution blocages, ajustements</w:t>
            </w:r>
          </w:p>
        </w:tc>
      </w:tr>
      <w:tr>
        <w:tc>
          <w:tcPr>
            <w:tcW w:type="dxa" w:w="1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Reporting Direction</w:t>
            </w:r>
          </w:p>
        </w:tc>
        <w:tc>
          <w:tcPr>
            <w:tcW w:type="dxa" w:w="2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Chef de Projet → DG</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Hebdomadaire (email)</w:t>
            </w:r>
          </w:p>
        </w:tc>
        <w:tc>
          <w:tcPr>
            <w:tcW w:type="dxa" w:w="3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Rapport d'avancement standardisé — 1 page maximum</w:t>
            </w:r>
          </w:p>
        </w:tc>
      </w:tr>
      <w:tr>
        <w:tc>
          <w:tcPr>
            <w:tcW w:type="dxa" w:w="1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Recette Utilisateur</w:t>
            </w:r>
          </w:p>
        </w:tc>
        <w:tc>
          <w:tcPr>
            <w:tcW w:type="dxa" w:w="2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Référent Métier BCI + Agents pilotes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À chaque livrable</w:t>
            </w:r>
          </w:p>
        </w:tc>
        <w:tc>
          <w:tcPr>
            <w:tcW w:type="dxa" w:w="3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Tests fonctionnels, validation conformité CIMA</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7.3 Méthodologie de Développement</w:t>
      </w:r>
    </w:p>
    <w:p>
      <w:pPr>
        <w:spacing w:after="70" w:before="70"/>
      </w:pPr>
      <w:r>
        <w:rPr>
          <w:rFonts w:ascii="Calibri" w:cs="Calibri" w:eastAsia="Calibri" w:hAnsi="Calibri"/>
          <w:color w:val="1C1C1E"/>
          <w:sz w:val="22"/>
          <w:szCs w:val="22"/>
        </w:rPr>
        <w:t xml:space="preserve">Le projet sera conduit selon la méthodologie Agile (Scrum), avec des sprints de 2 semaines. Chaque sprint produit un livrable fonctionnel testable. La Direction BCI a accès au tableau de bord projet en temps réel (Jira ou Notion) et reçoit un rapport hebdomadaire synthétique.</w:t>
      </w:r>
    </w:p>
    <w:p>
      <w:pPr>
        <w:spacing w:after="70" w:before="70"/>
      </w:pPr>
      <w:r>
        <w:rPr>
          <w:rFonts w:ascii="Calibri" w:cs="Calibri" w:eastAsia="Calibri" w:hAnsi="Calibri"/>
          <w:color w:val="1C1C1E"/>
          <w:sz w:val="22"/>
          <w:szCs w:val="22"/>
        </w:rPr>
        <w:t xml:space="preserve">Cette approche garantit une visibilité maximale sur l'avancement, et permet d'ajuster rapidement si des priorités métier évoluent en cours de projet. Les jalons contractuels sont maintenus fixes.</w:t>
      </w:r>
    </w:p>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8. PLAN FINANCIER COMPLET</w:t>
      </w:r>
    </w:p>
    <w:p>
      <w:pPr>
        <w:shd w:fill="1A3A5C" w:val="clear"/>
        <w:spacing w:after="100" w:before="240"/>
      </w:pPr>
      <w:r>
        <w:rPr>
          <w:rFonts w:ascii="Calibri" w:cs="Calibri" w:eastAsia="Calibri" w:hAnsi="Calibri"/>
          <w:b/>
          <w:bCs/>
          <w:color w:val="FFFFFF"/>
          <w:sz w:val="30"/>
          <w:szCs w:val="30"/>
        </w:rPr>
        <w:t xml:space="preserve">8.1 Budget de Développement — Détail par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200"/>
        <w:gridCol w:w="3160"/>
      </w:tblGrid>
      <w:tr>
        <w:trPr>
          <w:tblHeader/>
        </w:trPr>
        <w:tc>
          <w:tcPr>
            <w:tcW w:type="dxa" w:w="50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Module</w:t>
            </w:r>
          </w:p>
        </w:tc>
        <w:tc>
          <w:tcPr>
            <w:tcW w:type="dxa" w:w="1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Jours-Homme</w:t>
            </w:r>
          </w:p>
        </w:tc>
        <w:tc>
          <w:tcPr>
            <w:tcW w:type="dxa" w:w="31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Coût (FCFA)</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Architecture système, setup environnements, CI/CD DevOps</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Système IAM : rôles, permissions, authentification JWT sécurisée</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Prospects : enregistrement, statuts, commissions prospection</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Clients : gestion complète, espace client, transfert inter-agences</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Moteur de calcul de prime (barèmes CIMA, règles RG-01, inviolabilité)</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Contrats mono-véhicule CAT1 — parcours complet</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Contrats flotte CAT11 — multi-véhicules, tableau récapitulatif</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Paiements : Orange Money, MTN MoMo, espèces, circuit breakers</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Commissions : calcul RG-02, déblocage, retrait, seuil minimum</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Impressions : Carte Rose CEMAC, Attestation ASAC, Reçu Bethel</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Application Flutter agent terrain — mode hors-ligne complet (SQLCipher)</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1 000 000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Synchronisation offline/online + résolution conflits + anti-doublon RG-03</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Sinistres : déclaration, médias, suivi dossier, clôture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Espace client web + mobile : consultation, renouvellement 1 clic, chat</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Chat support intégré + notes vocales agent-siège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Dashboard web Next.js : KPIs, statistiques, rapports, tableaux de bord</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Module Rapports : génération PDF/Excel, envoi email planifié auto</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Logs d'activité et audit trail immuable (conformité CIMA)</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Gestion stocks imprimés physiques + alertes seuil critique (RG-04)</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Notifications push FCM + SMS + WhatsApp via Celery asynchrone</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Multi-agences : zonning géographique + transferts + isolation données</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Sécurité renforcée : Vault secrets, rate limiting, headers HTTP</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Tests complets : unitaires, intégration, charge (Locust/k6)</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JH</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Documentation technique + manuels utilisateurs en français</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JH</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250 000</w:t>
            </w:r>
          </w:p>
        </w:tc>
      </w:tr>
      <w:tr>
        <w:tc>
          <w:tcPr>
            <w:tcW w:type="dxa" w:w="5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SOUS-TOTAL DÉVELOPPEMENT (196 Jours-Homme @ 50 000 FCFA/JH)</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9 250 000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Déploiement initial + configuration serveur production</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Formation équipe BCI (agents terrain, gestion, admin, direction)</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Support &amp; maintenance garantie 3 mois post-lancement</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500 000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Hébergement serveur 12 premiers mois (détail section 9)</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350 000</w:t>
            </w:r>
          </w:p>
        </w:tc>
      </w:tr>
      <w:tr>
        <w:tc>
          <w:tcPr>
            <w:tcW w:type="dxa" w:w="5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Licences outils tiers (SMS, outils DevOps, Firebase)</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425 000</w:t>
            </w:r>
          </w:p>
        </w:tc>
      </w:tr>
      <w:tr>
        <w:tc>
          <w:tcPr>
            <w:tcW w:type="dxa" w:w="5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Provision imprévus (10% — bonne pratique de gestion de projet)</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t>
            </w:r>
          </w:p>
        </w:tc>
        <w:tc>
          <w:tcPr>
            <w:tcW w:type="dxa" w:w="3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925 000</w:t>
            </w:r>
          </w:p>
        </w:tc>
      </w:tr>
      <w:tr>
        <w:tc>
          <w:tcPr>
            <w:tcW w:type="dxa" w:w="5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BUDGET TOTAL DU PROJET</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w:r>
          </w:p>
        </w:tc>
        <w:tc>
          <w:tcPr>
            <w:tcW w:type="dxa" w:w="3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12 000 000 FCFA</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8.2 Projections Financières sur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Poste</w:t>
            </w:r>
          </w:p>
        </w:tc>
        <w:tc>
          <w:tcPr>
            <w:tcW w:type="dxa" w:w="212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Année 1</w:t>
            </w:r>
          </w:p>
        </w:tc>
        <w:tc>
          <w:tcPr>
            <w:tcW w:type="dxa" w:w="212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Année 2</w:t>
            </w:r>
          </w:p>
        </w:tc>
        <w:tc>
          <w:tcPr>
            <w:tcW w:type="dxa" w:w="212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Année 3</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Investissement développement (one-shot)</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12 000 000 FCFA</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r>
      <w:tr>
        <w:tc>
          <w:tcPr>
            <w:tcW w:type="dxa" w:w="3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Coût hébergement annuel</w:t>
            </w:r>
          </w:p>
        </w:tc>
        <w:tc>
          <w:tcPr>
            <w:tcW w:type="dxa" w:w="212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350 000 FCFA</w:t>
            </w:r>
          </w:p>
        </w:tc>
        <w:tc>
          <w:tcPr>
            <w:tcW w:type="dxa" w:w="212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1 700 000 FCFA</w:t>
            </w:r>
          </w:p>
        </w:tc>
        <w:tc>
          <w:tcPr>
            <w:tcW w:type="dxa" w:w="212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2 300 000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Total coûts</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12 350 000 FCFA</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1 700 000 FCFA</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2 300 000 FCFA</w:t>
            </w:r>
          </w:p>
        </w:tc>
      </w:tr>
      <w:tr>
        <w:tc>
          <w:tcPr>
            <w:tcW w:type="dxa" w:w="3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Gains CA supplémentaires (estimation conservative)</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+ 8 000 000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+ 11 000 000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+ 16 000 000 FCFA</w:t>
            </w:r>
          </w:p>
        </w:tc>
      </w:tr>
      <w:tr>
        <w:tc>
          <w:tcPr>
            <w:tcW w:type="dxa" w:w="3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Gains taxes récupérées + économies admin</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+ 3 000 000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+ 4 500 000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+ 6 500 000 FCFA</w:t>
            </w:r>
          </w:p>
        </w:tc>
      </w:tr>
      <w:tr>
        <w:tc>
          <w:tcPr>
            <w:tcW w:type="dxa" w:w="3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Gains fidélisation clients</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+ 2 000 000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+ 3 500 000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+ 5 000 000 FCFA</w:t>
            </w:r>
          </w:p>
        </w:tc>
      </w:tr>
      <w:tr>
        <w:tc>
          <w:tcPr>
            <w:tcW w:type="dxa" w:w="3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TOTAL GAINS ANNUELS</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+ 13 000 000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+ 19 000 000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+ 27 500 000 FCFA</w:t>
            </w:r>
          </w:p>
        </w:tc>
      </w:tr>
      <w:tr>
        <w:tc>
          <w:tcPr>
            <w:tcW w:type="dxa" w:w="3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NET (gains - coûts)</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+ 650 000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+ 17 300 000 FCFA</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+ 25 200 000 FCFA</w:t>
            </w:r>
          </w:p>
        </w:tc>
      </w:tr>
      <w:tr>
        <w:tc>
          <w:tcPr>
            <w:tcW w:type="dxa" w:w="30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ROI cumulé</w:t>
            </w:r>
          </w:p>
        </w:tc>
        <w:tc>
          <w:tcPr>
            <w:tcW w:type="dxa" w:w="212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Équilibre atteint</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+ 131%</w:t>
            </w:r>
          </w:p>
        </w:tc>
        <w:tc>
          <w:tcPr>
            <w:tcW w:type="dxa" w:w="2120"/>
            <w:tcBorders>
              <w:top w:val="single" w:color="CFD8DC" w:sz="1"/>
              <w:left w:val="single" w:color="CFD8DC" w:sz="1"/>
              <w:bottom w:val="single" w:color="CFD8DC" w:sz="1"/>
              <w:right w:val="single" w:color="CFD8DC" w:sz="1"/>
            </w:tcBorders>
            <w:shd w:fill="E8F5E9"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+ 344%</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9. INFRASTRUCTURE ET COÛTS D'HÉBERGEMENT RÉELS</w:t>
      </w:r>
    </w:p>
    <w:p>
      <w:pPr>
        <w:spacing w:after="70" w:before="70"/>
      </w:pPr>
      <w:r>
        <w:rPr>
          <w:rFonts w:ascii="Calibri" w:cs="Calibri" w:eastAsia="Calibri" w:hAnsi="Calibri"/>
          <w:color w:val="1C1C1E"/>
          <w:sz w:val="22"/>
          <w:szCs w:val="22"/>
        </w:rPr>
        <w:t xml:space="preserve">Les coûts présentés sont basés sur les tarifs publics et vérifiables de Hetzner Cloud (Allemagne), le fournisseur recommandé. Taux de conversion : 1 EUR = 655 FCFA (juin 2026).</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9.1 Phase Pilote — 1 Agence (Mois 1 à 6) : 26 266 FCFA / mois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400"/>
        <w:gridCol w:w="900"/>
        <w:gridCol w:w="126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Composant</w:t>
            </w:r>
          </w:p>
        </w:tc>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Fournisseur</w:t>
            </w:r>
          </w:p>
        </w:tc>
        <w:tc>
          <w:tcPr>
            <w:tcW w:type="dxa" w:w="24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Spécification</w:t>
            </w:r>
          </w:p>
        </w:tc>
        <w:tc>
          <w:tcPr>
            <w:tcW w:type="dxa" w:w="9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€/mois</w:t>
            </w:r>
          </w:p>
        </w:tc>
        <w:tc>
          <w:tcPr>
            <w:tcW w:type="dxa" w:w="12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FCFA/mois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Serveur app principal</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CX31</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vCPU · 8 GB RAM · 80 GB SSD</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9,18 €</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6 013</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Serveur base de données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CX21</w:t>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vCPU · 4 GB RAM · 40 GB SSD</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5,18 €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3 393</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Stockage fichiers MinIO 100 Go</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Object Storage</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Photos CNI, permis, documents sinistres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5,88 €</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3 851</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Backup automatique quotidien</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Backups</w:t>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Snapshots 7 jours — restauration 15 min</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2,87 €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1 880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Certificat SSL HTTPS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Let's Encrypt</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Renouvellement automatique — connexion sécurisée</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0,00 €</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Protection DDoS + CDN</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Cloudflare Free</w:t>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WAF, protection attaques, performance globale</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0,00 €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Nom de domaine (amorti /12)</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Namecheap / Camtel</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mobi-assur.cm ou bethel-assur.com</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1,25 €</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819</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Emails transactionnels (50 000/mois)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Mailgun Flex Plan</w:t>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Contrats, relances, rapports, reçus</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4,29 €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2 810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relances (~500/mois × 15 FCFA)</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Orange SMS Pro Cameroun</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Relances prospects et clients</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variable</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7 500</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Notifications push smartphones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Firebase FCM (Google)</w:t>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Alertes agents et clients — gratuit à ce volume</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0,00 €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Surveillance du serveur 24h/24</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Grafana Cloud Free</w:t>
            </w:r>
          </w:p>
        </w:tc>
        <w:tc>
          <w:tcPr>
            <w:tcW w:type="dxa" w:w="2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Alertes si problème — 10 000 métriques incluses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0,00 €</w:t>
            </w:r>
          </w:p>
        </w:tc>
        <w:tc>
          <w:tcPr>
            <w:tcW w:type="dxa" w:w="12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w:t>
            </w:r>
          </w:p>
        </w:tc>
      </w:tr>
      <w:tr>
        <w:tc>
          <w:tcPr>
            <w:tcW w:type="dxa" w:w="22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TOTAL MENSUEL PHASE PILOTE</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w:r>
          </w:p>
        </w:tc>
        <w:tc>
          <w:tcPr>
            <w:tcW w:type="dxa" w:w="2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~28,65 €</w:t>
            </w:r>
          </w:p>
        </w:tc>
        <w:tc>
          <w:tcPr>
            <w:tcW w:type="dxa" w:w="12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26 266 FCFA</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9.2 Phase Production — 5 Agences (Mois 7 à 24) : 135 582 FCFA / mois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200"/>
        <w:gridCol w:w="900"/>
        <w:gridCol w:w="146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Composant</w:t>
            </w:r>
          </w:p>
        </w:tc>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Fournisseur</w:t>
            </w:r>
          </w:p>
        </w:tc>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Spécification</w:t>
            </w:r>
          </w:p>
        </w:tc>
        <w:tc>
          <w:tcPr>
            <w:tcW w:type="dxa" w:w="9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€/mois</w:t>
            </w:r>
          </w:p>
        </w:tc>
        <w:tc>
          <w:tcPr>
            <w:tcW w:type="dxa" w:w="14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FCFA/mois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Serveur app #1 (Principal)</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CX41</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vCPU · 16 GB RAM · 160 GB SSD</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19,18 €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12 563</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Serveur app #2 (Secours HA)</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CX31</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vCPU · 8 GB RAM · 80 GB SSD</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9,18 €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6 013</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PostgreSQL Primary (écritures)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CX41</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vCPU · 16 GB RAM · 160 GB SSD</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19,18 €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12 563</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PostgreSQL Replica (lectures + failover)</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CX31</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Réplication temps réel — bascule auto 15s</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9,18 €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6 013</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Redis Sentinel 3 nœuds (cache + HA)</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 Hetzner CX11</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vCPU · 2 GB RAM × 3 — haute disponibilité</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9,45 €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6 190</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Celery Workers (tâches asynchrones)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CX21</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emails, rapports en arrière-plan</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5,18 €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3 393</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Load Balancer (répartition charge)</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LB11</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 services · 20 TB trafic mensuel</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5,83 €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3 819</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Stockage fichiers MinIO 500 Go</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Object Storage</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Photos, vidéos sinistres — 5 agences</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15,00 €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9 825</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Backup renforcé 30 jours</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Hetzner + WAL PostgreSQL</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Point-in-Time Recovery — RPO &lt; 4 heures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8,50 €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5 568</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Emails transactionnels (100 000/mois)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Mailgun Growth</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Volume 5 agences</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14,00 €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9 170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SMS relances (~2 000/mois × 15 FCFA)</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Orange SMS Pro Cameroun</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agences en production</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variable</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30 000</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WhatsApp Business (~500 messages/mois)</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Twilio WhatsApp</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Relances clients actifs</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10,00 €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6 550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Protection avancée Cloudflare Pro</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Cloudflare Pro</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WAF avancé, 20 règles firewall custom</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20,00 €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13 100</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Monitoring + alertes (Grafana Cloud)</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Grafana Cloud</w:t>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100 000 métriques, alertes SMS équipe tech</w:t>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14,00 €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9 170</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Domaine + renouvellement (amorti /12)</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Namecheap</w:t>
            </w:r>
          </w:p>
        </w:tc>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Domaine principal + sous-domaines agences</w:t>
            </w:r>
          </w:p>
        </w:tc>
        <w:tc>
          <w:tcPr>
            <w:tcW w:type="dxa" w:w="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2,50 €</w:t>
            </w:r>
          </w:p>
        </w:tc>
        <w:tc>
          <w:tcPr>
            <w:tcW w:type="dxa" w:w="14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1 638</w:t>
            </w:r>
          </w:p>
        </w:tc>
      </w:tr>
      <w:tr>
        <w:tc>
          <w:tcPr>
            <w:tcW w:type="dxa" w:w="2200"/>
            <w:tcBorders>
              <w:top w:val="single" w:color="CFD8DC" w:sz="1"/>
              <w:left w:val="single" w:color="CFD8DC" w:sz="1"/>
              <w:bottom w:val="single" w:color="CFD8DC" w:sz="1"/>
              <w:right w:val="single" w:color="CFD8DC" w:sz="1"/>
            </w:tcBorders>
            <w:shd w:fill="E3F2FD" w:val="clear"/>
            <w:tcMar>
              <w:top w:type="dxa" w:w="70"/>
              <w:left w:type="dxa" w:w="140"/>
              <w:bottom w:type="dxa" w:w="70"/>
              <w:right w:type="dxa" w:w="140"/>
            </w:tcMar>
            <w:vAlign w:val="center"/>
          </w:tcPr>
          <w:p>
            <w:r>
              <w:rPr>
                <w:rFonts w:ascii="Calibri" w:cs="Calibri" w:eastAsia="Calibri" w:hAnsi="Calibri"/>
                <w:b/>
                <w:bCs/>
                <w:color w:val="0D2137"/>
                <w:sz w:val="19"/>
                <w:szCs w:val="19"/>
              </w:rPr>
              <w:t xml:space="preserve">TOTAL MENSUEL PHASE PRODUCTION</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w:r>
          </w:p>
        </w:tc>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
            </w:r>
          </w:p>
        </w:tc>
        <w:tc>
          <w:tcPr>
            <w:tcW w:type="dxa" w:w="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~171,18 €</w:t>
            </w:r>
          </w:p>
        </w:tc>
        <w:tc>
          <w:tcPr>
            <w:tcW w:type="dxa" w:w="14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135 582 FCFA</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9.3 Récapitulatif Hébergement sur 3 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800"/>
        <w:gridCol w:w="1900"/>
        <w:gridCol w:w="2860"/>
      </w:tblGrid>
      <w:tr>
        <w:trPr>
          <w:tblHeader/>
        </w:trPr>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Phase</w:t>
            </w:r>
          </w:p>
        </w:tc>
        <w:tc>
          <w:tcPr>
            <w:tcW w:type="dxa" w:w="1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Période</w:t>
            </w:r>
          </w:p>
        </w:tc>
        <w:tc>
          <w:tcPr>
            <w:tcW w:type="dxa" w:w="18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FCFA/mois</w:t>
            </w:r>
          </w:p>
        </w:tc>
        <w:tc>
          <w:tcPr>
            <w:tcW w:type="dxa" w:w="19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FCFA/an</w:t>
            </w:r>
          </w:p>
        </w:tc>
        <w:tc>
          <w:tcPr>
            <w:tcW w:type="dxa" w:w="28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Agences couvertes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Pilote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1–6</w:t>
            </w:r>
          </w:p>
        </w:tc>
        <w:tc>
          <w:tcPr>
            <w:tcW w:type="dxa" w:w="1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26 266</w:t>
            </w:r>
          </w:p>
        </w:tc>
        <w:tc>
          <w:tcPr>
            <w:tcW w:type="dxa" w:w="1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157 596</w:t>
            </w:r>
          </w:p>
        </w:tc>
        <w:tc>
          <w:tcPr>
            <w:tcW w:type="dxa" w:w="28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agence — 50 utilisateurs max</w:t>
            </w:r>
          </w:p>
        </w:tc>
      </w:tr>
      <w:tr>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Production</w:t>
            </w:r>
          </w:p>
        </w:tc>
        <w:tc>
          <w:tcPr>
            <w:tcW w:type="dxa" w:w="1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Mois 7–24</w:t>
            </w:r>
          </w:p>
        </w:tc>
        <w:tc>
          <w:tcPr>
            <w:tcW w:type="dxa" w:w="18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135 582</w:t>
            </w:r>
          </w:p>
        </w:tc>
        <w:tc>
          <w:tcPr>
            <w:tcW w:type="dxa" w:w="19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1 626 984</w:t>
            </w:r>
          </w:p>
        </w:tc>
        <w:tc>
          <w:tcPr>
            <w:tcW w:type="dxa" w:w="28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agences — 200 utilisateurs simultanés</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Croissance</w:t>
            </w:r>
          </w:p>
        </w:tc>
        <w:tc>
          <w:tcPr>
            <w:tcW w:type="dxa" w:w="1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An 3+</w:t>
            </w:r>
          </w:p>
        </w:tc>
        <w:tc>
          <w:tcPr>
            <w:tcW w:type="dxa" w:w="1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~200 000</w:t>
            </w:r>
          </w:p>
        </w:tc>
        <w:tc>
          <w:tcPr>
            <w:tcW w:type="dxa" w:w="19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~2 400 000</w:t>
            </w:r>
          </w:p>
        </w:tc>
        <w:tc>
          <w:tcPr>
            <w:tcW w:type="dxa" w:w="28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10+ agences — croissance illimitée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D32" w:sz="1"/>
              <w:left w:val="single" w:color="2E7D32" w:sz="1"/>
              <w:bottom w:val="single" w:color="2E7D32" w:sz="1"/>
              <w:right w:val="single" w:color="2E7D32" w:sz="1"/>
            </w:tcBorders>
            <w:shd w:fill="2E7D32" w:val="clear"/>
            <w:tcMar>
              <w:top w:type="dxa" w:w="90"/>
              <w:left w:type="dxa" w:w="200"/>
              <w:bottom w:type="dxa" w:w="90"/>
              <w:right w:type="dxa" w:w="200"/>
            </w:tcMar>
          </w:tcPr>
          <w:p>
            <w:r>
              <w:rPr>
                <w:rFonts w:ascii="Calibri" w:cs="Calibri" w:eastAsia="Calibri" w:hAnsi="Calibri"/>
                <w:b/>
                <w:bCs/>
                <w:color w:val="FFFFFF"/>
                <w:sz w:val="23"/>
                <w:szCs w:val="23"/>
              </w:rPr>
              <w:t xml:space="preserve">Pourquoi Hetzner Cloud — et pas AWS ou Google Cloud ?</w:t>
            </w:r>
          </w:p>
        </w:tc>
      </w:tr>
      <w:tr>
        <w:tc>
          <w:tcPr>
            <w:tcBorders>
              <w:top w:val="single" w:color="2E7D32" w:sz="1"/>
              <w:left w:val="single" w:color="2E7D32" w:sz="1"/>
              <w:bottom w:val="single" w:color="2E7D32" w:sz="1"/>
              <w:right w:val="single" w:color="2E7D32" w:sz="1"/>
            </w:tcBorders>
            <w:shd w:fill="E8F5E9" w:val="clear"/>
            <w:tcMar>
              <w:top w:type="dxa" w:w="110"/>
              <w:left w:type="dxa" w:w="200"/>
              <w:bottom w:type="dxa" w:w="110"/>
              <w:right w:type="dxa" w:w="200"/>
            </w:tcMar>
          </w:tcPr>
          <w:p>
            <w:pPr>
              <w:pStyle w:val="ListParagraph"/>
              <w:numPr>
                <w:ilvl w:val="0"/>
                <w:numId w:val="2"/>
              </w:numPr>
              <w:spacing w:after="45" w:before="45"/>
            </w:pPr>
            <w:r>
              <w:rPr>
                <w:rFonts w:ascii="Calibri" w:cs="Calibri" w:eastAsia="Calibri" w:hAnsi="Calibri"/>
                <w:color w:val="1C1C1E"/>
                <w:sz w:val="21"/>
                <w:szCs w:val="21"/>
              </w:rPr>
              <w:t xml:space="preserve">Prix 3 à 4 fois inférieurs à AWS, Google Cloud ou Azure pour des performances équivalentes ou supérieures</w:t>
            </w:r>
          </w:p>
          <w:p>
            <w:pPr>
              <w:pStyle w:val="ListParagraph"/>
              <w:numPr>
                <w:ilvl w:val="0"/>
                <w:numId w:val="2"/>
              </w:numPr>
              <w:spacing w:after="45" w:before="45"/>
            </w:pPr>
            <w:r>
              <w:rPr>
                <w:rFonts w:ascii="Calibri" w:cs="Calibri" w:eastAsia="Calibri" w:hAnsi="Calibri"/>
                <w:color w:val="1C1C1E"/>
                <w:sz w:val="21"/>
                <w:szCs w:val="21"/>
              </w:rPr>
              <w:t xml:space="preserve">20 TB de bande passante inclus par mois — aucune facture surprise sur le trafic réseau</w:t>
            </w:r>
          </w:p>
          <w:p>
            <w:pPr>
              <w:pStyle w:val="ListParagraph"/>
              <w:numPr>
                <w:ilvl w:val="0"/>
                <w:numId w:val="2"/>
              </w:numPr>
              <w:spacing w:after="45" w:before="45"/>
            </w:pPr>
            <w:r>
              <w:rPr>
                <w:rFonts w:ascii="Calibri" w:cs="Calibri" w:eastAsia="Calibri" w:hAnsi="Calibri"/>
                <w:color w:val="1C1C1E"/>
                <w:sz w:val="21"/>
                <w:szCs w:val="21"/>
              </w:rPr>
              <w:t xml:space="preserve">Facturation à l'heure, sans engagement minimum, sans coûts cachés — total contrôle budgétaire</w:t>
            </w:r>
          </w:p>
          <w:p>
            <w:pPr>
              <w:pStyle w:val="ListParagraph"/>
              <w:numPr>
                <w:ilvl w:val="0"/>
                <w:numId w:val="2"/>
              </w:numPr>
              <w:spacing w:after="45" w:before="45"/>
            </w:pPr>
            <w:r>
              <w:rPr>
                <w:rFonts w:ascii="Calibri" w:cs="Calibri" w:eastAsia="Calibri" w:hAnsi="Calibri"/>
                <w:color w:val="1C1C1E"/>
                <w:sz w:val="21"/>
                <w:szCs w:val="21"/>
              </w:rPr>
              <w:t xml:space="preserve">SLA de disponibilité 99,9% garanti contractuellement — infrastructure fiable pour données financières</w:t>
            </w:r>
          </w:p>
          <w:p>
            <w:pPr>
              <w:pStyle w:val="ListParagraph"/>
              <w:numPr>
                <w:ilvl w:val="0"/>
                <w:numId w:val="2"/>
              </w:numPr>
              <w:spacing w:after="45" w:before="45"/>
            </w:pPr>
            <w:r>
              <w:rPr>
                <w:rFonts w:ascii="Calibri" w:cs="Calibri" w:eastAsia="Calibri" w:hAnsi="Calibri"/>
                <w:color w:val="1C1C1E"/>
                <w:sz w:val="21"/>
                <w:szCs w:val="21"/>
              </w:rPr>
              <w:t xml:space="preserve">Données hébergées en Europe (Nuremberg, Helsinki) — conformité RGPD, latence ~150ms depuis Cameroun</w:t>
            </w:r>
          </w:p>
          <w:p>
            <w:pPr>
              <w:pStyle w:val="ListParagraph"/>
              <w:numPr>
                <w:ilvl w:val="0"/>
                <w:numId w:val="2"/>
              </w:numPr>
              <w:spacing w:after="45" w:before="45"/>
            </w:pPr>
            <w:r>
              <w:rPr>
                <w:rFonts w:ascii="Calibri" w:cs="Calibri" w:eastAsia="Calibri" w:hAnsi="Calibri"/>
                <w:color w:val="1C1C1E"/>
                <w:sz w:val="21"/>
                <w:szCs w:val="21"/>
              </w:rPr>
              <w:t xml:space="preserve">Migration possible vers tout autre fournisseur à tout moment — aucun enfermement propriétaire</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10. BESOINS EN FINANCEMENT ET UTILISATION DES FONDS</w:t>
      </w:r>
    </w:p>
    <w:p>
      <w:pPr>
        <w:shd w:fill="1A3A5C" w:val="clear"/>
        <w:spacing w:after="100" w:before="240"/>
      </w:pPr>
      <w:r>
        <w:rPr>
          <w:rFonts w:ascii="Calibri" w:cs="Calibri" w:eastAsia="Calibri" w:hAnsi="Calibri"/>
          <w:b/>
          <w:bCs/>
          <w:color w:val="FFFFFF"/>
          <w:sz w:val="30"/>
          <w:szCs w:val="30"/>
        </w:rPr>
        <w:t xml:space="preserve">10.1 Montant Total Requis et Justification</w:t>
      </w:r>
    </w:p>
    <w:p>
      <w:pPr>
        <w:spacing w:after="70" w:before="70"/>
      </w:pPr>
      <w:r>
        <w:rPr>
          <w:rFonts w:ascii="Calibri" w:cs="Calibri" w:eastAsia="Calibri" w:hAnsi="Calibri"/>
          <w:color w:val="1C1C1E"/>
          <w:sz w:val="22"/>
          <w:szCs w:val="22"/>
        </w:rPr>
        <w:t xml:space="preserve">Le financement total sollicité est de 12 000 000 FCFA (douze millions de francs CFA). Ce montant couvre l'intégralité du projet : développement, infrastructure, formation, support et provision d'imprévus. Il n'y aura aucun surcoût si le périmètre reste identique au cahier des charges fonctionnel validé.</w:t>
      </w:r>
    </w:p>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10.2 Structure de Décaissement Recommandée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560"/>
        <w:gridCol w:w="160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Tranche</w:t>
            </w:r>
          </w:p>
        </w:tc>
        <w:tc>
          <w:tcPr>
            <w:tcW w:type="dxa" w:w="20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Montant</w:t>
            </w:r>
          </w:p>
        </w:tc>
        <w:tc>
          <w:tcPr>
            <w:tcW w:type="dxa" w:w="35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Condition de déblocage</w:t>
            </w:r>
          </w:p>
        </w:tc>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Jalon associé</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Tranche 1 — Démarrage (30%)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3 600 000 FCFA</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Signature du contrat prestataire de développement</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Phase 0 : démarrage officiel du projet</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Tranche 2 — Mi-parcours (40%)</w:t>
            </w:r>
          </w:p>
        </w:tc>
        <w:tc>
          <w:tcPr>
            <w:tcW w:type="dxa" w:w="20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4 800 000 FCFA</w:t>
            </w:r>
          </w:p>
        </w:tc>
        <w:tc>
          <w:tcPr>
            <w:tcW w:type="dxa" w:w="35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par DG de la démo : parcours agent hors-ligne complet</w:t>
            </w:r>
          </w:p>
        </w:tc>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Phase 3 : app mobile livrée et testée</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Tranche 3 — Livraison (30%)</w:t>
            </w:r>
          </w:p>
        </w:tc>
        <w:tc>
          <w:tcPr>
            <w:tcW w:type="dxa" w:w="20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3 600 000 FCFA</w:t>
            </w:r>
          </w:p>
        </w:tc>
        <w:tc>
          <w:tcPr>
            <w:tcW w:type="dxa" w:w="35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Recette pilote réussie — signature Go/No-Go Production</w:t>
            </w:r>
          </w:p>
        </w:tc>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Phase 6 : pilote 1 agence réussi</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10.3 Options de Financement Disponibles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2800"/>
        <w:gridCol w:w="2160"/>
      </w:tblGrid>
      <w:tr>
        <w:trPr>
          <w:tblHeader/>
        </w:trPr>
        <w:tc>
          <w:tcPr>
            <w:tcW w:type="dxa" w:w="16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Option</w:t>
            </w:r>
          </w:p>
        </w:tc>
        <w:tc>
          <w:tcPr>
            <w:tcW w:type="dxa" w:w="28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Mécanisme</w:t>
            </w:r>
          </w:p>
        </w:tc>
        <w:tc>
          <w:tcPr>
            <w:tcW w:type="dxa" w:w="28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Avantage</w:t>
            </w:r>
          </w:p>
        </w:tc>
        <w:tc>
          <w:tcPr>
            <w:tcW w:type="dxa" w:w="21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Délai</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 — Autofinancement BCI (recommandé)</w:t>
            </w:r>
          </w:p>
        </w:tc>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Budget d'investissement BCI — 3 tranches</w:t>
            </w:r>
          </w:p>
        </w:tc>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Décision rapide, maîtrise totale, démarrage immédiat</w:t>
            </w:r>
          </w:p>
        </w:tc>
        <w:tc>
          <w:tcPr>
            <w:tcW w:type="dxa" w:w="2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Immédiat après validation DG</w:t>
            </w:r>
          </w:p>
        </w:tc>
      </w:tr>
      <w:tr>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 — Partenariat opérateur télécom</w:t>
            </w:r>
          </w:p>
        </w:tc>
        <w:tc>
          <w:tcPr>
            <w:tcW w:type="dxa" w:w="28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50% BCI + 50% Orange ou MTN contre exclusivité Mobile Money 24 mois</w:t>
            </w:r>
          </w:p>
        </w:tc>
        <w:tc>
          <w:tcPr>
            <w:tcW w:type="dxa" w:w="28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Réduit l'investissement BCI de moitié</w:t>
            </w:r>
          </w:p>
        </w:tc>
        <w:tc>
          <w:tcPr>
            <w:tcW w:type="dxa" w:w="2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à 4 semaines de négociation</w:t>
            </w:r>
          </w:p>
        </w:tc>
      </w:tr>
      <w:tr>
        <w:tc>
          <w:tcPr>
            <w:tcW w:type="dxa" w:w="16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 — Fonds MINPOSTEL / AFD Afrique</w:t>
            </w:r>
          </w:p>
        </w:tc>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Subvention digitalisation PME africaines — jusqu'à 70%</w:t>
            </w:r>
          </w:p>
        </w:tc>
        <w:tc>
          <w:tcPr>
            <w:tcW w:type="dxa" w:w="28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Investissement BCI minimal</w:t>
            </w:r>
          </w:p>
        </w:tc>
        <w:tc>
          <w:tcPr>
            <w:tcW w:type="dxa" w:w="21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à 6 mois (instruction du dossier)</w:t>
            </w:r>
          </w:p>
        </w:tc>
      </w:tr>
      <w:tr>
        <w:tc>
          <w:tcPr>
            <w:tcW w:type="dxa" w:w="16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 — Financement mixte A+C</w:t>
            </w:r>
          </w:p>
        </w:tc>
        <w:tc>
          <w:tcPr>
            <w:tcW w:type="dxa" w:w="28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Autofinancement partiel + subvention complémentaire</w:t>
            </w:r>
          </w:p>
        </w:tc>
        <w:tc>
          <w:tcPr>
            <w:tcW w:type="dxa" w:w="28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Optimise la trésorerie BCI tout en démarrant vite</w:t>
            </w:r>
          </w:p>
        </w:tc>
        <w:tc>
          <w:tcPr>
            <w:tcW w:type="dxa" w:w="21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Phase A démarre, phase C en parallèle</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11. ANALYSE DES RISQUES ET PLAN DE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4960"/>
      </w:tblGrid>
      <w:tr>
        <w:trPr>
          <w:tblHeader/>
        </w:trPr>
        <w:tc>
          <w:tcPr>
            <w:tcW w:type="dxa" w:w="2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Risque identifié</w:t>
            </w:r>
          </w:p>
        </w:tc>
        <w:tc>
          <w:tcPr>
            <w:tcW w:type="dxa" w:w="11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Probabilité</w:t>
            </w:r>
          </w:p>
        </w:tc>
        <w:tc>
          <w:tcPr>
            <w:tcW w:type="dxa" w:w="11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Impact</w:t>
            </w:r>
          </w:p>
        </w:tc>
        <w:tc>
          <w:tcPr>
            <w:tcW w:type="dxa" w:w="49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Plan de mitigation</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Dépassement du délai de 8 mois</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Moyenne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w:t>
            </w:r>
          </w:p>
        </w:tc>
        <w:tc>
          <w:tcPr>
            <w:tcW w:type="dxa" w:w="49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Buffer 3 semaines inclus dans le planning ; jalons contractuels hebdomadaires ; méthode Agile avec ajustements permanents</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Dépassement du budget de 12 M FCFA</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Faible</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w:t>
            </w:r>
          </w:p>
        </w:tc>
        <w:tc>
          <w:tcPr>
            <w:tcW w:type="dxa" w:w="49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Contrat à prix fixe avec le prestataire ; provision d'imprévus de 10% (925 000 FCFA) explicitement incluse dans le budget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Résistance des agents terrain au changement</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Moyenne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w:t>
            </w:r>
          </w:p>
        </w:tc>
        <w:tc>
          <w:tcPr>
            <w:tcW w:type="dxa" w:w="49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Formation dédiée sur site ; agent champion ; support 3 mois ; interface pensée pour non-techniciens ; incentive adoption</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Panne du serveur en production</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Faible</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w:t>
            </w:r>
          </w:p>
        </w:tc>
        <w:tc>
          <w:tcPr>
            <w:tcW w:type="dxa" w:w="49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Architecture haute dispo (2 serveurs, failover auto) ; backup toutes les 4h ; RTO &lt; 15 min ; procédures documentées</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Fuite ou vol de données clients</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Très faible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Très élevé</w:t>
            </w:r>
          </w:p>
        </w:tc>
        <w:tc>
          <w:tcPr>
            <w:tcW w:type="dxa" w:w="49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Chiffrement AES-256 (mobile), TLS 1.3 (transit), PostgreSQL RLS (base) ; audit sécurité externe avant production</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Non-conformité aux règles CIMA</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Très faible</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Très élevé</w:t>
            </w:r>
          </w:p>
        </w:tc>
        <w:tc>
          <w:tcPr>
            <w:tcW w:type="dxa" w:w="49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RG-04 obligatoire by design ; référent métier CIMA dans l'équipe ; tests de conformité avant déploiement</w:t>
            </w:r>
          </w:p>
        </w:tc>
      </w:tr>
      <w:tr>
        <w:tc>
          <w:tcPr>
            <w:tcW w:type="dxa" w:w="2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Panne API Mobile Money (Orange/MTN)</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Moyenne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w:t>
            </w:r>
          </w:p>
        </w:tc>
        <w:tc>
          <w:tcPr>
            <w:tcW w:type="dxa" w:w="49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Circuit Breaker : si l'API tombe, dossier mis en file d'attente et réessayé automatiquement ; mode espèces toujours disponible</w:t>
            </w:r>
          </w:p>
        </w:tc>
      </w:tr>
      <w:tr>
        <w:tc>
          <w:tcPr>
            <w:tcW w:type="dxa" w:w="2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Dépendance excessive au prestataire</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Moyenne</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Élevé</w:t>
            </w:r>
          </w:p>
        </w:tc>
        <w:tc>
          <w:tcPr>
            <w:tcW w:type="dxa" w:w="49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Code source livré en propriété à BCI ; documentation technique complète ; transfert de compétences à l'équipe BCI</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12. POURQUOI NOUS FAIRE CONFIANCE — NOTRE ENGAGEMENT</w:t>
      </w:r>
    </w:p>
    <w:p>
      <w:pPr>
        <w:spacing w:after="70" w:before="70"/>
      </w:pPr>
      <w:r>
        <w:rPr>
          <w:rFonts w:ascii="Calibri" w:cs="Calibri" w:eastAsia="Calibri" w:hAnsi="Calibri"/>
          <w:color w:val="1C1C1E"/>
          <w:sz w:val="22"/>
          <w:szCs w:val="22"/>
        </w:rPr>
        <w:t xml:space="preserve">Financer un projet logiciel est une décision qui mérite des garanties solides et des preuves concrètes. Voici les 8 raisons, vérifiables et documentées, pour lesquelles votre confiance en notre équipe est justifiée.</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1565C0" w:sz="1"/>
              <w:left w:val="single" w:color="1565C0" w:sz="1"/>
              <w:bottom w:val="single" w:color="1565C0" w:sz="1"/>
              <w:right w:val="single" w:color="1565C0" w:sz="1"/>
            </w:tcBorders>
            <w:shd w:fill="1565C0"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01</w:t>
            </w:r>
          </w:p>
        </w:tc>
        <w:tc>
          <w:tcPr>
            <w:tcBorders>
              <w:top w:val="single" w:color="1565C0" w:sz="1"/>
              <w:left w:val="single" w:color="1565C0" w:sz="1"/>
              <w:bottom w:val="single" w:color="1565C0" w:sz="1"/>
              <w:right w:val="single" w:color="1565C0" w:sz="1"/>
            </w:tcBorders>
            <w:shd w:fill="E3F2FD" w:val="clear"/>
            <w:tcMar>
              <w:top w:type="dxa" w:w="110"/>
              <w:left w:type="dxa" w:w="220"/>
              <w:bottom w:type="dxa" w:w="110"/>
              <w:right w:type="dxa" w:w="220"/>
            </w:tcMar>
          </w:tcPr>
          <w:p>
            <w:pPr>
              <w:spacing w:after="70" w:before="0"/>
            </w:pPr>
            <w:r>
              <w:rPr>
                <w:rFonts w:ascii="Calibri" w:cs="Calibri" w:eastAsia="Calibri" w:hAnsi="Calibri"/>
                <w:b/>
                <w:bCs/>
                <w:color w:val="1565C0"/>
                <w:sz w:val="24"/>
                <w:szCs w:val="24"/>
              </w:rPr>
              <w:t xml:space="preserve">Nous avons fait le travail difficile avant de demander un centime</w:t>
            </w:r>
          </w:p>
          <w:p>
            <w:pPr>
              <w:spacing w:after="0" w:before="0"/>
            </w:pPr>
            <w:r>
              <w:rPr>
                <w:rFonts w:ascii="Calibri" w:cs="Calibri" w:eastAsia="Calibri" w:hAnsi="Calibri"/>
                <w:color w:val="3A3A3C"/>
                <w:sz w:val="20"/>
                <w:szCs w:val="20"/>
              </w:rPr>
              <w:t xml:space="preserve">Avant cette proposition, nous avons produit un Cahier des Charges Fonctionnel complet de 60+ pages (17 tables de base de données, 14 sections fonctionnelles, flux opérationnels détaillés) et un Addendum Technique Sécurité &amp; Résilience couvrant l'architecture haute disponibilité, les procédures de backup, les tests de charge et le plan de réponse aux incidents. Ce travail représente plusieurs dizaines d'heures. Il prouve notre sérieux et garantit qu'aucun prestataire de développement ne pourra vous facturer des études préalables.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004D40" w:sz="1"/>
              <w:left w:val="single" w:color="004D40" w:sz="1"/>
              <w:bottom w:val="single" w:color="004D40" w:sz="1"/>
              <w:right w:val="single" w:color="004D40" w:sz="1"/>
            </w:tcBorders>
            <w:shd w:fill="004D40"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02</w:t>
            </w:r>
          </w:p>
        </w:tc>
        <w:tc>
          <w:tcPr>
            <w:tcBorders>
              <w:top w:val="single" w:color="004D40" w:sz="1"/>
              <w:left w:val="single" w:color="004D40" w:sz="1"/>
              <w:bottom w:val="single" w:color="004D40" w:sz="1"/>
              <w:right w:val="single" w:color="004D40" w:sz="1"/>
            </w:tcBorders>
            <w:shd w:fill="E0F2F1" w:val="clear"/>
            <w:tcMar>
              <w:top w:type="dxa" w:w="110"/>
              <w:left w:type="dxa" w:w="220"/>
              <w:bottom w:type="dxa" w:w="110"/>
              <w:right w:type="dxa" w:w="220"/>
            </w:tcMar>
          </w:tcPr>
          <w:p>
            <w:pPr>
              <w:spacing w:after="70" w:before="0"/>
            </w:pPr>
            <w:r>
              <w:rPr>
                <w:rFonts w:ascii="Calibri" w:cs="Calibri" w:eastAsia="Calibri" w:hAnsi="Calibri"/>
                <w:b/>
                <w:bCs/>
                <w:color w:val="004D40"/>
                <w:sz w:val="24"/>
                <w:szCs w:val="24"/>
              </w:rPr>
              <w:t xml:space="preserve">Nous connaissons votre métier depuis l'intérieur</w:t>
            </w:r>
          </w:p>
          <w:p>
            <w:pPr>
              <w:spacing w:after="0" w:before="0"/>
            </w:pPr>
            <w:r>
              <w:rPr>
                <w:rFonts w:ascii="Calibri" w:cs="Calibri" w:eastAsia="Calibri" w:hAnsi="Calibri"/>
                <w:color w:val="3A3A3C"/>
                <w:sz w:val="20"/>
                <w:szCs w:val="20"/>
              </w:rPr>
              <w:t xml:space="preserve">MOBI-ASSUR n'a pas été conçu de façon générique. Il a été bâti à partir des fiches Excel réelles de Bethel Insurance (modèle Bethel Comprehensive Insurance), des contraintes précises du code CIMA, des témoignages de vos agents terrain et des réalités opérationnelles de vos agences. Chaque règle de gestion (RG-01 à RG-08) correspond à un problème réel identifié dans vos processus.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2E7D32" w:sz="1"/>
              <w:left w:val="single" w:color="2E7D32" w:sz="1"/>
              <w:bottom w:val="single" w:color="2E7D32" w:sz="1"/>
              <w:right w:val="single" w:color="2E7D32" w:sz="1"/>
            </w:tcBorders>
            <w:shd w:fill="2E7D32"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03</w:t>
            </w:r>
          </w:p>
        </w:tc>
        <w:tc>
          <w:tcPr>
            <w:tcBorders>
              <w:top w:val="single" w:color="2E7D32" w:sz="1"/>
              <w:left w:val="single" w:color="2E7D32" w:sz="1"/>
              <w:bottom w:val="single" w:color="2E7D32" w:sz="1"/>
              <w:right w:val="single" w:color="2E7D32" w:sz="1"/>
            </w:tcBorders>
            <w:shd w:fill="E8F5E9" w:val="clear"/>
            <w:tcMar>
              <w:top w:type="dxa" w:w="110"/>
              <w:left w:type="dxa" w:w="220"/>
              <w:bottom w:type="dxa" w:w="110"/>
              <w:right w:type="dxa" w:w="220"/>
            </w:tcMar>
          </w:tcPr>
          <w:p>
            <w:pPr>
              <w:spacing w:after="70" w:before="0"/>
            </w:pPr>
            <w:r>
              <w:rPr>
                <w:rFonts w:ascii="Calibri" w:cs="Calibri" w:eastAsia="Calibri" w:hAnsi="Calibri"/>
                <w:b/>
                <w:bCs/>
                <w:color w:val="2E7D32"/>
                <w:sz w:val="24"/>
                <w:szCs w:val="24"/>
              </w:rPr>
              <w:t xml:space="preserve">Prix fixe contractuel — aucune mauvaise surprise financière</w:t>
            </w:r>
          </w:p>
          <w:p>
            <w:pPr>
              <w:spacing w:after="0" w:before="0"/>
            </w:pPr>
            <w:r>
              <w:rPr>
                <w:rFonts w:ascii="Calibri" w:cs="Calibri" w:eastAsia="Calibri" w:hAnsi="Calibri"/>
                <w:color w:val="3A3A3C"/>
                <w:sz w:val="20"/>
                <w:szCs w:val="20"/>
              </w:rPr>
              <w:t xml:space="preserve">Le budget de 12 000 000 FCFA est un plafond contractuel, pas une estimation. Il inclut une provision d'imprévus de 10% (925 000 FCFA). Si des travaux supplémentaires hors périmètre s'avèrent nécessaires, rien ne sera fait sans votre accord écrit et un avenant signé. Vous pouvez vérifier chaque ligne de ce budget et la comparer aux tarifs du marché.</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F57F17" w:sz="1"/>
              <w:left w:val="single" w:color="F57F17" w:sz="1"/>
              <w:bottom w:val="single" w:color="F57F17" w:sz="1"/>
              <w:right w:val="single" w:color="F57F17" w:sz="1"/>
            </w:tcBorders>
            <w:shd w:fill="F57F17"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04</w:t>
            </w:r>
          </w:p>
        </w:tc>
        <w:tc>
          <w:tcPr>
            <w:tcBorders>
              <w:top w:val="single" w:color="F57F17" w:sz="1"/>
              <w:left w:val="single" w:color="F57F17" w:sz="1"/>
              <w:bottom w:val="single" w:color="F57F17" w:sz="1"/>
              <w:right w:val="single" w:color="F57F17" w:sz="1"/>
            </w:tcBorders>
            <w:shd w:fill="FFFDE7" w:val="clear"/>
            <w:tcMar>
              <w:top w:type="dxa" w:w="110"/>
              <w:left w:type="dxa" w:w="220"/>
              <w:bottom w:type="dxa" w:w="110"/>
              <w:right w:type="dxa" w:w="220"/>
            </w:tcMar>
          </w:tcPr>
          <w:p>
            <w:pPr>
              <w:spacing w:after="70" w:before="0"/>
            </w:pPr>
            <w:r>
              <w:rPr>
                <w:rFonts w:ascii="Calibri" w:cs="Calibri" w:eastAsia="Calibri" w:hAnsi="Calibri"/>
                <w:b/>
                <w:bCs/>
                <w:color w:val="F57F17"/>
                <w:sz w:val="24"/>
                <w:szCs w:val="24"/>
              </w:rPr>
              <w:t xml:space="preserve">Paiement en 3 tranches liées à des résultats réels</w:t>
            </w:r>
          </w:p>
          <w:p>
            <w:pPr>
              <w:spacing w:after="0" w:before="0"/>
            </w:pPr>
            <w:r>
              <w:rPr>
                <w:rFonts w:ascii="Calibri" w:cs="Calibri" w:eastAsia="Calibri" w:hAnsi="Calibri"/>
                <w:color w:val="3A3A3C"/>
                <w:sz w:val="20"/>
                <w:szCs w:val="20"/>
              </w:rPr>
              <w:t xml:space="preserve">Vous ne signez pas un chèque en blanc. La Tranche 1 (30%) démarre le projet. La Tranche 2 (40%) est débloquée uniquement après votre validation d'une démonstration en conditions réelles. La Tranche 3 (30%) est versée après la réussite du pilote sur une agence réelle. Si un jalon n'est pas atteint, la tranche suivante n'est pas débloquée. Votre argent est protégé à chaque étape.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6A1B9A" w:sz="1"/>
              <w:left w:val="single" w:color="6A1B9A" w:sz="1"/>
              <w:bottom w:val="single" w:color="6A1B9A" w:sz="1"/>
              <w:right w:val="single" w:color="6A1B9A" w:sz="1"/>
            </w:tcBorders>
            <w:shd w:fill="6A1B9A"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05</w:t>
            </w:r>
          </w:p>
        </w:tc>
        <w:tc>
          <w:tcPr>
            <w:tcBorders>
              <w:top w:val="single" w:color="6A1B9A" w:sz="1"/>
              <w:left w:val="single" w:color="6A1B9A" w:sz="1"/>
              <w:bottom w:val="single" w:color="6A1B9A" w:sz="1"/>
              <w:right w:val="single" w:color="6A1B9A" w:sz="1"/>
            </w:tcBorders>
            <w:shd w:val="clear"/>
            <w:tcMar>
              <w:top w:type="dxa" w:w="110"/>
              <w:left w:type="dxa" w:w="220"/>
              <w:bottom w:type="dxa" w:w="110"/>
              <w:right w:type="dxa" w:w="220"/>
            </w:tcMar>
          </w:tcPr>
          <w:p>
            <w:pPr>
              <w:spacing w:after="70" w:before="0"/>
            </w:pPr>
            <w:r>
              <w:rPr>
                <w:rFonts w:ascii="Calibri" w:cs="Calibri" w:eastAsia="Calibri" w:hAnsi="Calibri"/>
                <w:b/>
                <w:bCs/>
                <w:color w:val="6A1B9A"/>
                <w:sz w:val="24"/>
                <w:szCs w:val="24"/>
              </w:rPr>
              <w:t xml:space="preserve">Propriété totale du logiciel par Bethel Insurance</w:t>
            </w:r>
          </w:p>
          <w:p>
            <w:pPr>
              <w:spacing w:after="0" w:before="0"/>
            </w:pPr>
            <w:r>
              <w:rPr>
                <w:rFonts w:ascii="Calibri" w:cs="Calibri" w:eastAsia="Calibri" w:hAnsi="Calibri"/>
                <w:color w:val="3A3A3C"/>
                <w:sz w:val="20"/>
                <w:szCs w:val="20"/>
              </w:rPr>
              <w:t xml:space="preserve">À la livraison finale, BCI reçoit l'intégralité du code source, la documentation technique complète et les accès à tous les serveurs. Vous n'êtes pas pieds et poings liés à notre équipe. Si dans 3 ans vous souhaitez confier la maintenance à une autre équipe, vous pouvez. Vos données vous appartiennent et sont hébergées sur un serveur que vous contrôlez.</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E65100" w:sz="1"/>
              <w:left w:val="single" w:color="E65100" w:sz="1"/>
              <w:bottom w:val="single" w:color="E65100" w:sz="1"/>
              <w:right w:val="single" w:color="E65100" w:sz="1"/>
            </w:tcBorders>
            <w:shd w:fill="E65100"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06</w:t>
            </w:r>
          </w:p>
        </w:tc>
        <w:tc>
          <w:tcPr>
            <w:tcBorders>
              <w:top w:val="single" w:color="E65100" w:sz="1"/>
              <w:left w:val="single" w:color="E65100" w:sz="1"/>
              <w:bottom w:val="single" w:color="E65100" w:sz="1"/>
              <w:right w:val="single" w:color="E65100" w:sz="1"/>
            </w:tcBorders>
            <w:shd w:fill="FFF3E0" w:val="clear"/>
            <w:tcMar>
              <w:top w:type="dxa" w:w="110"/>
              <w:left w:type="dxa" w:w="220"/>
              <w:bottom w:type="dxa" w:w="110"/>
              <w:right w:type="dxa" w:w="220"/>
            </w:tcMar>
          </w:tcPr>
          <w:p>
            <w:pPr>
              <w:spacing w:after="70" w:before="0"/>
            </w:pPr>
            <w:r>
              <w:rPr>
                <w:rFonts w:ascii="Calibri" w:cs="Calibri" w:eastAsia="Calibri" w:hAnsi="Calibri"/>
                <w:b/>
                <w:bCs/>
                <w:color w:val="E65100"/>
                <w:sz w:val="24"/>
                <w:szCs w:val="24"/>
              </w:rPr>
              <w:t xml:space="preserve">Technologies mondiales éprouvées, pas des expériences locales</w:t>
            </w:r>
          </w:p>
          <w:p>
            <w:pPr>
              <w:spacing w:after="0" w:before="0"/>
            </w:pPr>
            <w:r>
              <w:rPr>
                <w:rFonts w:ascii="Calibri" w:cs="Calibri" w:eastAsia="Calibri" w:hAnsi="Calibri"/>
                <w:color w:val="3A3A3C"/>
                <w:sz w:val="20"/>
                <w:szCs w:val="20"/>
              </w:rPr>
              <w:t xml:space="preserve">FastAPI : utilisé en production par Netflix et Uber. PostgreSQL : base de données d'Instagram, Spotify, Skype. Flutter : développé par Google, utilisé par Alibaba et BMW. Next.js : framework de plus de 10 000 entreprises mondiales. Chaque brique de MOBI-ASSUR a fait ses preuves à grande échelle dans des environnements bien plus exigeants que le marché camerounais.</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1976D2" w:sz="1"/>
              <w:left w:val="single" w:color="1976D2" w:sz="1"/>
              <w:bottom w:val="single" w:color="1976D2" w:sz="1"/>
              <w:right w:val="single" w:color="1976D2" w:sz="1"/>
            </w:tcBorders>
            <w:shd w:fill="1976D2"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07</w:t>
            </w:r>
          </w:p>
        </w:tc>
        <w:tc>
          <w:tcPr>
            <w:tcBorders>
              <w:top w:val="single" w:color="1976D2" w:sz="1"/>
              <w:left w:val="single" w:color="1976D2" w:sz="1"/>
              <w:bottom w:val="single" w:color="1976D2" w:sz="1"/>
              <w:right w:val="single" w:color="1976D2" w:sz="1"/>
            </w:tcBorders>
            <w:shd w:fill="E3F2FD" w:val="clear"/>
            <w:tcMar>
              <w:top w:type="dxa" w:w="110"/>
              <w:left w:type="dxa" w:w="220"/>
              <w:bottom w:type="dxa" w:w="110"/>
              <w:right w:type="dxa" w:w="220"/>
            </w:tcMar>
          </w:tcPr>
          <w:p>
            <w:pPr>
              <w:spacing w:after="70" w:before="0"/>
            </w:pPr>
            <w:r>
              <w:rPr>
                <w:rFonts w:ascii="Calibri" w:cs="Calibri" w:eastAsia="Calibri" w:hAnsi="Calibri"/>
                <w:b/>
                <w:bCs/>
                <w:color w:val="1976D2"/>
                <w:sz w:val="24"/>
                <w:szCs w:val="24"/>
              </w:rPr>
              <w:t xml:space="preserve">ROI positif même dans le pire scénario réaliste</w:t>
            </w:r>
          </w:p>
          <w:p>
            <w:pPr>
              <w:spacing w:after="0" w:before="0"/>
            </w:pPr>
            <w:r>
              <w:rPr>
                <w:rFonts w:ascii="Calibri" w:cs="Calibri" w:eastAsia="Calibri" w:hAnsi="Calibri"/>
                <w:color w:val="3A3A3C"/>
                <w:sz w:val="20"/>
                <w:szCs w:val="20"/>
              </w:rPr>
              <w:t xml:space="preserve">Nos projections sont délibérément conservatives. Si les gains réels s'avèrent 50% inférieurs à nos estimations, l'investissement reste rentable en 24 mois. Il faudrait que nos projections soient fausses de plus de 70% pour que le projet ne soit pas rentable — ce qui ne peut pas arriver si vos agents utilisent l'application. Le risque financier est asymétrique en votre faveur.</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c>
          <w:tcPr>
            <w:tcBorders>
              <w:top w:val="single" w:color="2E7D32" w:sz="1"/>
              <w:left w:val="single" w:color="2E7D32" w:sz="1"/>
              <w:bottom w:val="single" w:color="2E7D32" w:sz="1"/>
              <w:right w:val="single" w:color="2E7D32" w:sz="1"/>
            </w:tcBorders>
            <w:shd w:fill="2E7D32" w:val="clear"/>
            <w:tcMar>
              <w:top w:type="dxa" w:w="110"/>
              <w:left w:type="dxa" w:w="60"/>
              <w:bottom w:type="dxa" w:w="110"/>
              <w:right w:type="dxa" w:w="60"/>
            </w:tcMar>
            <w:vAlign w:val="center"/>
          </w:tcPr>
          <w:p>
            <w:pPr>
              <w:jc w:val="center"/>
            </w:pPr>
            <w:r>
              <w:rPr>
                <w:rFonts w:ascii="Calibri" w:cs="Calibri" w:eastAsia="Calibri" w:hAnsi="Calibri"/>
                <w:b/>
                <w:bCs/>
                <w:color w:val="FFFFFF"/>
                <w:sz w:val="50"/>
                <w:szCs w:val="50"/>
              </w:rPr>
              <w:t xml:space="preserve">08</w:t>
            </w:r>
          </w:p>
        </w:tc>
        <w:tc>
          <w:tcPr>
            <w:tcBorders>
              <w:top w:val="single" w:color="2E7D32" w:sz="1"/>
              <w:left w:val="single" w:color="2E7D32" w:sz="1"/>
              <w:bottom w:val="single" w:color="2E7D32" w:sz="1"/>
              <w:right w:val="single" w:color="2E7D32" w:sz="1"/>
            </w:tcBorders>
            <w:shd w:fill="E8F5E9" w:val="clear"/>
            <w:tcMar>
              <w:top w:type="dxa" w:w="110"/>
              <w:left w:type="dxa" w:w="220"/>
              <w:bottom w:type="dxa" w:w="110"/>
              <w:right w:type="dxa" w:w="220"/>
            </w:tcMar>
          </w:tcPr>
          <w:p>
            <w:pPr>
              <w:spacing w:after="70" w:before="0"/>
            </w:pPr>
            <w:r>
              <w:rPr>
                <w:rFonts w:ascii="Calibri" w:cs="Calibri" w:eastAsia="Calibri" w:hAnsi="Calibri"/>
                <w:b/>
                <w:bCs/>
                <w:color w:val="2E7D32"/>
                <w:sz w:val="24"/>
                <w:szCs w:val="24"/>
              </w:rPr>
              <w:t xml:space="preserve">Accompagnement complet jusqu'à l'autonomie totale de vos équipes</w:t>
            </w:r>
          </w:p>
          <w:p>
            <w:pPr>
              <w:spacing w:after="0" w:before="0"/>
            </w:pPr>
            <w:r>
              <w:rPr>
                <w:rFonts w:ascii="Calibri" w:cs="Calibri" w:eastAsia="Calibri" w:hAnsi="Calibri"/>
                <w:color w:val="3A3A3C"/>
                <w:sz w:val="20"/>
                <w:szCs w:val="20"/>
              </w:rPr>
              <w:t xml:space="preserve">Livrer un logiciel et disparaître, c'est le défaut numéro un des projets informatiques. Notre engagement inclut : formation de 100% des équipes BCI (agents terrain, gestionnaires, admins, direction), manuels utilisateurs en français pour non-techniciens, 3 mois de support post-lancement sans surcoût, et transfert de compétences pour que votre équipe puisse maintenir le système.</w:t>
            </w:r>
          </w:p>
        </w:tc>
      </w:tr>
    </w:tbl>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A1628" w:sz="1"/>
              <w:left w:val="single" w:color="0A1628" w:sz="1"/>
              <w:bottom w:val="single" w:color="0A1628" w:sz="1"/>
              <w:right w:val="single" w:color="0A1628" w:sz="1"/>
            </w:tcBorders>
            <w:shd w:fill="0A1628" w:val="clear"/>
            <w:tcMar>
              <w:top w:type="dxa" w:w="90"/>
              <w:left w:type="dxa" w:w="200"/>
              <w:bottom w:type="dxa" w:w="90"/>
              <w:right w:type="dxa" w:w="200"/>
            </w:tcMar>
          </w:tcPr>
          <w:p>
            <w:r>
              <w:rPr>
                <w:rFonts w:ascii="Calibri" w:cs="Calibri" w:eastAsia="Calibri" w:hAnsi="Calibri"/>
                <w:b/>
                <w:bCs/>
                <w:color w:val="FFFFFF"/>
                <w:sz w:val="23"/>
                <w:szCs w:val="23"/>
              </w:rPr>
              <w:t xml:space="preserve">Notre Engagement Formel — Opposable Contractuellement</w:t>
            </w:r>
          </w:p>
        </w:tc>
      </w:tr>
      <w:tr>
        <w:tc>
          <w:tcPr>
            <w:tcBorders>
              <w:top w:val="single" w:color="0A1628" w:sz="1"/>
              <w:left w:val="single" w:color="0A1628" w:sz="1"/>
              <w:bottom w:val="single" w:color="0A1628" w:sz="1"/>
              <w:right w:val="single" w:color="0A1628" w:sz="1"/>
            </w:tcBorders>
            <w:shd w:fill="E8F5E9" w:val="clear"/>
            <w:tcMar>
              <w:top w:type="dxa" w:w="110"/>
              <w:left w:type="dxa" w:w="200"/>
              <w:bottom w:type="dxa" w:w="110"/>
              <w:right w:type="dxa" w:w="200"/>
            </w:tcMar>
          </w:tcPr>
          <w:p>
            <w:pPr>
              <w:pStyle w:val="ListParagraph"/>
              <w:numPr>
                <w:ilvl w:val="0"/>
                <w:numId w:val="2"/>
              </w:numPr>
              <w:spacing w:after="45" w:before="45"/>
            </w:pPr>
            <w:r>
              <w:rPr>
                <w:rFonts w:ascii="Calibri" w:cs="Calibri" w:eastAsia="Calibri" w:hAnsi="Calibri"/>
                <w:color w:val="1C1C1E"/>
                <w:sz w:val="21"/>
                <w:szCs w:val="21"/>
              </w:rPr>
              <w:t xml:space="preserve">✅  Budget maximum 12 000 000 FCFA — prix fixe, provision imprévus comprise</w:t>
            </w:r>
          </w:p>
          <w:p>
            <w:pPr>
              <w:pStyle w:val="ListParagraph"/>
              <w:numPr>
                <w:ilvl w:val="0"/>
                <w:numId w:val="2"/>
              </w:numPr>
              <w:spacing w:after="45" w:before="45"/>
            </w:pPr>
            <w:r>
              <w:rPr>
                <w:rFonts w:ascii="Calibri" w:cs="Calibri" w:eastAsia="Calibri" w:hAnsi="Calibri"/>
                <w:color w:val="1C1C1E"/>
                <w:sz w:val="21"/>
                <w:szCs w:val="21"/>
              </w:rPr>
              <w:t xml:space="preserve">✅  Délai de livraison 8 mois — avec jalons contractuels mensuels</w:t>
            </w:r>
          </w:p>
          <w:p>
            <w:pPr>
              <w:pStyle w:val="ListParagraph"/>
              <w:numPr>
                <w:ilvl w:val="0"/>
                <w:numId w:val="2"/>
              </w:numPr>
              <w:spacing w:after="45" w:before="45"/>
            </w:pPr>
            <w:r>
              <w:rPr>
                <w:rFonts w:ascii="Calibri" w:cs="Calibri" w:eastAsia="Calibri" w:hAnsi="Calibri"/>
                <w:color w:val="1C1C1E"/>
                <w:sz w:val="21"/>
                <w:szCs w:val="21"/>
              </w:rPr>
              <w:t xml:space="preserve">✅  Paiement en 3 tranches conditionnelles aux livrables validés par BCI</w:t>
            </w:r>
          </w:p>
          <w:p>
            <w:pPr>
              <w:pStyle w:val="ListParagraph"/>
              <w:numPr>
                <w:ilvl w:val="0"/>
                <w:numId w:val="2"/>
              </w:numPr>
              <w:spacing w:after="45" w:before="45"/>
            </w:pPr>
            <w:r>
              <w:rPr>
                <w:rFonts w:ascii="Calibri" w:cs="Calibri" w:eastAsia="Calibri" w:hAnsi="Calibri"/>
                <w:color w:val="1C1C1E"/>
                <w:sz w:val="21"/>
                <w:szCs w:val="21"/>
              </w:rPr>
              <w:t xml:space="preserve">✅  Propriété totale code source + données + infrastructure par Bethel Insurance à la livraison</w:t>
            </w:r>
          </w:p>
          <w:p>
            <w:pPr>
              <w:pStyle w:val="ListParagraph"/>
              <w:numPr>
                <w:ilvl w:val="0"/>
                <w:numId w:val="2"/>
              </w:numPr>
              <w:spacing w:after="45" w:before="45"/>
            </w:pPr>
            <w:r>
              <w:rPr>
                <w:rFonts w:ascii="Calibri" w:cs="Calibri" w:eastAsia="Calibri" w:hAnsi="Calibri"/>
                <w:color w:val="1C1C1E"/>
                <w:sz w:val="21"/>
                <w:szCs w:val="21"/>
              </w:rPr>
              <w:t xml:space="preserve">✅  Formation complète de toutes les équipes incluse dans le budget</w:t>
            </w:r>
          </w:p>
          <w:p>
            <w:pPr>
              <w:pStyle w:val="ListParagraph"/>
              <w:numPr>
                <w:ilvl w:val="0"/>
                <w:numId w:val="2"/>
              </w:numPr>
              <w:spacing w:after="45" w:before="45"/>
            </w:pPr>
            <w:r>
              <w:rPr>
                <w:rFonts w:ascii="Calibri" w:cs="Calibri" w:eastAsia="Calibri" w:hAnsi="Calibri"/>
                <w:color w:val="1C1C1E"/>
                <w:sz w:val="21"/>
                <w:szCs w:val="21"/>
              </w:rPr>
              <w:t xml:space="preserve">✅  Support garanti 3 mois post-lancement — corrections sans surcoût</w:t>
            </w:r>
          </w:p>
          <w:p>
            <w:pPr>
              <w:pStyle w:val="ListParagraph"/>
              <w:numPr>
                <w:ilvl w:val="0"/>
                <w:numId w:val="2"/>
              </w:numPr>
              <w:spacing w:after="45" w:before="45"/>
            </w:pPr>
            <w:r>
              <w:rPr>
                <w:rFonts w:ascii="Calibri" w:cs="Calibri" w:eastAsia="Calibri" w:hAnsi="Calibri"/>
                <w:color w:val="1C1C1E"/>
                <w:sz w:val="21"/>
                <w:szCs w:val="21"/>
              </w:rPr>
              <w:t xml:space="preserve">✅  Documentation technique + manuels utilisateurs livrés en français</w:t>
            </w:r>
          </w:p>
          <w:p>
            <w:pPr>
              <w:pStyle w:val="ListParagraph"/>
              <w:numPr>
                <w:ilvl w:val="0"/>
                <w:numId w:val="2"/>
              </w:numPr>
              <w:spacing w:after="45" w:before="45"/>
            </w:pPr>
            <w:r>
              <w:rPr>
                <w:rFonts w:ascii="Calibri" w:cs="Calibri" w:eastAsia="Calibri" w:hAnsi="Calibri"/>
                <w:color w:val="1C1C1E"/>
                <w:sz w:val="21"/>
                <w:szCs w:val="21"/>
              </w:rPr>
              <w:t xml:space="preserve">✅  Tableau de bord projet accessible à la Direction en temps réel pendant toute la durée</w:t>
            </w:r>
          </w:p>
        </w:tc>
      </w:tr>
    </w:tbl>
    <w:p>
      <w:r>
        <w:br w:type="page"/>
      </w:r>
    </w:p>
    <w:p>
      <w:pPr>
        <w:pBdr>
          <w:bottom w:val="single" w:color="38BDF8" w:sz="16"/>
        </w:pBdr>
        <w:shd w:fill="0A1628" w:val="clear"/>
        <w:spacing w:after="200" w:before="360"/>
      </w:pPr>
      <w:r>
        <w:rPr>
          <w:rFonts w:ascii="Calibri" w:cs="Calibri" w:eastAsia="Calibri" w:hAnsi="Calibri"/>
          <w:b/>
          <w:bCs/>
          <w:color w:val="FFFFFF"/>
          <w:sz w:val="44"/>
          <w:szCs w:val="44"/>
        </w:rPr>
        <w:t xml:space="preserve">13. JALONS, LIVRABLES ET CONDITIONS DE VALIDATION</w:t>
      </w:r>
    </w:p>
    <w:p>
      <w:pPr>
        <w:shd w:fill="1A3A5C" w:val="clear"/>
        <w:spacing w:after="100" w:before="240"/>
      </w:pPr>
      <w:r>
        <w:rPr>
          <w:rFonts w:ascii="Calibri" w:cs="Calibri" w:eastAsia="Calibri" w:hAnsi="Calibri"/>
          <w:b/>
          <w:bCs/>
          <w:color w:val="FFFFFF"/>
          <w:sz w:val="30"/>
          <w:szCs w:val="30"/>
        </w:rPr>
        <w:t xml:space="preserve">13.1 Plan de Déploiement en 8 Phases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100"/>
        <w:gridCol w:w="4200"/>
        <w:gridCol w:w="2660"/>
      </w:tblGrid>
      <w:tr>
        <w:trPr>
          <w:tblHeader/>
        </w:trPr>
        <w:tc>
          <w:tcPr>
            <w:tcW w:type="dxa" w:w="14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Phase</w:t>
            </w:r>
          </w:p>
        </w:tc>
        <w:tc>
          <w:tcPr>
            <w:tcW w:type="dxa" w:w="11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Durée</w:t>
            </w:r>
          </w:p>
        </w:tc>
        <w:tc>
          <w:tcPr>
            <w:tcW w:type="dxa" w:w="420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Ce qui est produit</w:t>
            </w:r>
          </w:p>
        </w:tc>
        <w:tc>
          <w:tcPr>
            <w:tcW w:type="dxa" w:w="2660"/>
            <w:tcBorders>
              <w:top w:val="single" w:color="1976D2" w:sz="1"/>
              <w:left w:val="single" w:color="1976D2" w:sz="1"/>
              <w:bottom w:val="single" w:color="1976D2" w:sz="1"/>
              <w:right w:val="single" w:color="1976D2" w:sz="1"/>
            </w:tcBorders>
            <w:shd w:fill="1976D2" w:val="clear"/>
            <w:tcMar>
              <w:top w:type="dxa" w:w="90"/>
              <w:left w:type="dxa" w:w="140"/>
              <w:bottom w:type="dxa" w:w="90"/>
              <w:right w:type="dxa" w:w="140"/>
            </w:tcMar>
            <w:vAlign w:val="center"/>
          </w:tcPr>
          <w:p>
            <w:pPr>
              <w:jc w:val="center"/>
            </w:pPr>
            <w:r>
              <w:rPr>
                <w:rFonts w:ascii="Calibri" w:cs="Calibri" w:eastAsia="Calibri" w:hAnsi="Calibri"/>
                <w:b/>
                <w:bCs/>
                <w:color w:val="FFFFFF"/>
                <w:sz w:val="19"/>
                <w:szCs w:val="19"/>
              </w:rPr>
              <w:t xml:space="preserve">Validation requise</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0 — Cadrage &amp; Contractualisation</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semaines</w:t>
            </w:r>
          </w:p>
        </w:tc>
        <w:tc>
          <w:tcPr>
            <w:tcW w:type="dxa" w:w="4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CDC validé, prestataire sélectionné, contrats signés, serveur setup</w:t>
            </w:r>
          </w:p>
        </w:tc>
        <w:tc>
          <w:tcPr>
            <w:tcW w:type="dxa" w:w="26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Signature DG + Chef de Projet désigné</w:t>
            </w:r>
          </w:p>
        </w:tc>
      </w:tr>
      <w:tr>
        <w:tc>
          <w:tcPr>
            <w:tcW w:type="dxa" w:w="1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1 — Backend &amp; Moteur de Calcul</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semaines</w:t>
            </w:r>
          </w:p>
        </w:tc>
        <w:tc>
          <w:tcPr>
            <w:tcW w:type="dxa" w:w="4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API fonctionnelle, calcul de prime en temps réel, règles RG-01 à RG-08</w:t>
            </w:r>
          </w:p>
        </w:tc>
        <w:tc>
          <w:tcPr>
            <w:tcW w:type="dxa" w:w="26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Démo calcul automatique devant DG</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2 — Dashboard Web Administration</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semaines</w:t>
            </w:r>
          </w:p>
        </w:tc>
        <w:tc>
          <w:tcPr>
            <w:tcW w:type="dxa" w:w="4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Interface gestion agences, contrats, clients, paiements, impressions</w:t>
            </w:r>
          </w:p>
        </w:tc>
        <w:tc>
          <w:tcPr>
            <w:tcW w:type="dxa" w:w="26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Chef de Projet BCI</w:t>
            </w:r>
          </w:p>
        </w:tc>
      </w:tr>
      <w:tr>
        <w:tc>
          <w:tcPr>
            <w:tcW w:type="dxa" w:w="1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 Application Mobile Agent Terrain</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8 semaines</w:t>
            </w:r>
          </w:p>
        </w:tc>
        <w:tc>
          <w:tcPr>
            <w:tcW w:type="dxa" w:w="4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Flutter hors-ligne complet, sync, flotte, prospects, chat</w:t>
            </w:r>
          </w:p>
        </w:tc>
        <w:tc>
          <w:tcPr>
            <w:tcW w:type="dxa" w:w="26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Test agent terrain réel — validation DG</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 Espace Client Digital</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semaines</w:t>
            </w:r>
          </w:p>
        </w:tc>
        <w:tc>
          <w:tcPr>
            <w:tcW w:type="dxa" w:w="4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App client : sinistres, paiements, notifications, consultation polices</w:t>
            </w:r>
          </w:p>
        </w:tc>
        <w:tc>
          <w:tcPr>
            <w:tcW w:type="dxa" w:w="26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Validation Chef de Projet BCI</w:t>
            </w:r>
          </w:p>
        </w:tc>
      </w:tr>
      <w:tr>
        <w:tc>
          <w:tcPr>
            <w:tcW w:type="dxa" w:w="1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5 — Intégrations Paiements &amp; Notifications</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3 semaines</w:t>
            </w:r>
          </w:p>
        </w:tc>
        <w:tc>
          <w:tcPr>
            <w:tcW w:type="dxa" w:w="4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Orange Money, MTN MoMo live, SMS, WhatsApp, FCM opérationnels</w:t>
            </w:r>
          </w:p>
        </w:tc>
        <w:tc>
          <w:tcPr>
            <w:tcW w:type="dxa" w:w="26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Premier paiement test réel validé</w:t>
            </w:r>
          </w:p>
        </w:tc>
      </w:tr>
      <w:tr>
        <w:tc>
          <w:tcPr>
            <w:tcW w:type="dxa" w:w="14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6 — Pilote Agence Réelle</w:t>
            </w:r>
          </w:p>
        </w:tc>
        <w:tc>
          <w:tcPr>
            <w:tcW w:type="dxa" w:w="11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4 semaines</w:t>
            </w:r>
          </w:p>
        </w:tc>
        <w:tc>
          <w:tcPr>
            <w:tcW w:type="dxa" w:w="420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Tests grandeur nature sur 1 agence choisie par DG, corrections finales</w:t>
            </w:r>
          </w:p>
        </w:tc>
        <w:tc>
          <w:tcPr>
            <w:tcW w:type="dxa" w:w="2660"/>
            <w:tcBorders>
              <w:top w:val="single" w:color="CFD8DC" w:sz="1"/>
              <w:left w:val="single" w:color="CFD8DC" w:sz="1"/>
              <w:bottom w:val="single" w:color="CFD8DC" w:sz="1"/>
              <w:right w:val="single" w:color="CFD8DC" w:sz="1"/>
            </w:tcBorders>
            <w:shd w:fill="FFFFFF"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GO / NO-GO signé par DG — déclencheur Tranche 3</w:t>
            </w:r>
          </w:p>
        </w:tc>
      </w:tr>
      <w:tr>
        <w:tc>
          <w:tcPr>
            <w:tcW w:type="dxa" w:w="14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7 — Déploiement National</w:t>
            </w:r>
          </w:p>
        </w:tc>
        <w:tc>
          <w:tcPr>
            <w:tcW w:type="dxa" w:w="11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Continu</w:t>
            </w:r>
          </w:p>
        </w:tc>
        <w:tc>
          <w:tcPr>
            <w:tcW w:type="dxa" w:w="420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Formation toutes agences, déploiement progressif, support actif 3 mois</w:t>
            </w:r>
          </w:p>
        </w:tc>
        <w:tc>
          <w:tcPr>
            <w:tcW w:type="dxa" w:w="2660"/>
            <w:tcBorders>
              <w:top w:val="single" w:color="CFD8DC" w:sz="1"/>
              <w:left w:val="single" w:color="CFD8DC" w:sz="1"/>
              <w:bottom w:val="single" w:color="CFD8DC" w:sz="1"/>
              <w:right w:val="single" w:color="CFD8DC" w:sz="1"/>
            </w:tcBorders>
            <w:shd w:fill="F8F9FA" w:val="clear"/>
            <w:tcMar>
              <w:top w:type="dxa" w:w="70"/>
              <w:left w:type="dxa" w:w="140"/>
              <w:bottom w:type="dxa" w:w="70"/>
              <w:right w:type="dxa" w:w="140"/>
            </w:tcMar>
            <w:vAlign w:val="center"/>
          </w:tcPr>
          <w:p>
            <w:r>
              <w:rPr>
                <w:rFonts w:ascii="Calibri" w:cs="Calibri" w:eastAsia="Calibri" w:hAnsi="Calibri"/>
                <w:b w:val="false"/>
                <w:bCs w:val="false"/>
                <w:color w:val="1C1C1E"/>
                <w:sz w:val="19"/>
                <w:szCs w:val="19"/>
              </w:rPr>
              <w:t xml:space="preserve">Mise en production nationale officielle</w:t>
            </w:r>
          </w:p>
        </w:tc>
      </w:tr>
    </w:tbl>
    <w:p>
      <w:pPr>
        <w:spacing w:after="40" w:before="40"/>
      </w:pPr>
      <w:r>
        <w:t xml:space="preserve"/>
      </w:r>
    </w:p>
    <w:p>
      <w:pPr>
        <w:shd w:fill="1A3A5C" w:val="clear"/>
        <w:spacing w:after="100" w:before="240"/>
      </w:pPr>
      <w:r>
        <w:rPr>
          <w:rFonts w:ascii="Calibri" w:cs="Calibri" w:eastAsia="Calibri" w:hAnsi="Calibri"/>
          <w:b/>
          <w:bCs/>
          <w:color w:val="FFFFFF"/>
          <w:sz w:val="30"/>
          <w:szCs w:val="30"/>
        </w:rPr>
        <w:t xml:space="preserve">13.2 Ce que Nous Demandons — 4 Actions</w:t>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565C0" w:sz="1"/>
              <w:left w:val="single" w:color="1565C0" w:sz="1"/>
              <w:bottom w:val="single" w:color="1565C0" w:sz="1"/>
              <w:right w:val="single" w:color="1565C0" w:sz="1"/>
            </w:tcBorders>
            <w:shd w:fill="1565C0" w:val="clear"/>
            <w:tcMar>
              <w:top w:type="dxa" w:w="90"/>
              <w:left w:type="dxa" w:w="200"/>
              <w:bottom w:type="dxa" w:w="90"/>
              <w:right w:type="dxa" w:w="200"/>
            </w:tcMar>
          </w:tcPr>
          <w:p>
            <w:r>
              <w:rPr>
                <w:rFonts w:ascii="Calibri" w:cs="Calibri" w:eastAsia="Calibri" w:hAnsi="Calibri"/>
                <w:b/>
                <w:bCs/>
                <w:color w:val="FFFFFF"/>
                <w:sz w:val="23"/>
                <w:szCs w:val="23"/>
              </w:rPr>
              <w:t xml:space="preserve">Les 4 Décisions pour Démarrer MOBI-ASSUR</w:t>
            </w:r>
          </w:p>
        </w:tc>
      </w:tr>
      <w:tr>
        <w:tc>
          <w:tcPr>
            <w:tcBorders>
              <w:top w:val="single" w:color="1565C0" w:sz="1"/>
              <w:left w:val="single" w:color="1565C0" w:sz="1"/>
              <w:bottom w:val="single" w:color="1565C0" w:sz="1"/>
              <w:right w:val="single" w:color="1565C0" w:sz="1"/>
            </w:tcBorders>
            <w:shd w:fill="E3F2FD" w:val="clear"/>
            <w:tcMar>
              <w:top w:type="dxa" w:w="110"/>
              <w:left w:type="dxa" w:w="200"/>
              <w:bottom w:type="dxa" w:w="110"/>
              <w:right w:type="dxa" w:w="200"/>
            </w:tcMar>
          </w:tcPr>
          <w:p>
            <w:pPr>
              <w:pStyle w:val="ListParagraph"/>
              <w:numPr>
                <w:ilvl w:val="0"/>
                <w:numId w:val="2"/>
              </w:numPr>
              <w:spacing w:after="45" w:before="45"/>
            </w:pPr>
            <w:r>
              <w:rPr>
                <w:rFonts w:ascii="Calibri" w:cs="Calibri" w:eastAsia="Calibri" w:hAnsi="Calibri"/>
                <w:color w:val="1C1C1E"/>
                <w:sz w:val="21"/>
                <w:szCs w:val="21"/>
              </w:rPr>
              <w:t xml:space="preserve">DÉCISION 1 — Valider la présente proposition commerciale (signature ci-dessous)</w:t>
            </w:r>
          </w:p>
          <w:p>
            <w:pPr>
              <w:pStyle w:val="ListParagraph"/>
              <w:numPr>
                <w:ilvl w:val="0"/>
                <w:numId w:val="2"/>
              </w:numPr>
              <w:spacing w:after="45" w:before="45"/>
            </w:pPr>
            <w:r>
              <w:rPr>
                <w:rFonts w:ascii="Calibri" w:cs="Calibri" w:eastAsia="Calibri" w:hAnsi="Calibri"/>
                <w:color w:val="1C1C1E"/>
                <w:sz w:val="21"/>
                <w:szCs w:val="21"/>
              </w:rPr>
              <w:t xml:space="preserve">DÉCISION 2 — Approuver le budget de 12 000 000 FCFA ou choisir l'option de financement retenue</w:t>
            </w:r>
          </w:p>
          <w:p>
            <w:pPr>
              <w:pStyle w:val="ListParagraph"/>
              <w:numPr>
                <w:ilvl w:val="0"/>
                <w:numId w:val="2"/>
              </w:numPr>
              <w:spacing w:after="45" w:before="45"/>
            </w:pPr>
            <w:r>
              <w:rPr>
                <w:rFonts w:ascii="Calibri" w:cs="Calibri" w:eastAsia="Calibri" w:hAnsi="Calibri"/>
                <w:color w:val="1C1C1E"/>
                <w:sz w:val="21"/>
                <w:szCs w:val="21"/>
              </w:rPr>
              <w:t xml:space="preserve">DÉCISION 3 — Désigner un Chef de Projet interne BCI dans les 5 jours ouvrables suivant la validation</w:t>
            </w:r>
          </w:p>
          <w:p>
            <w:pPr>
              <w:pStyle w:val="ListParagraph"/>
              <w:numPr>
                <w:ilvl w:val="0"/>
                <w:numId w:val="2"/>
              </w:numPr>
              <w:spacing w:after="45" w:before="45"/>
            </w:pPr>
            <w:r>
              <w:rPr>
                <w:rFonts w:ascii="Calibri" w:cs="Calibri" w:eastAsia="Calibri" w:hAnsi="Calibri"/>
                <w:color w:val="1C1C1E"/>
                <w:sz w:val="21"/>
                <w:szCs w:val="21"/>
              </w:rPr>
              <w:t xml:space="preserve">DÉCISION 4 — Autoriser le démarrage de la Phase 0 dans les 15 jours suivant la signature</w:t>
            </w:r>
          </w:p>
        </w:tc>
      </w:tr>
    </w:tbl>
    <w:p>
      <w:pPr>
        <w:spacing w:after="40" w:before="40"/>
      </w:pPr>
      <w:r>
        <w:t xml:space="preserve"/>
      </w:r>
    </w:p>
    <w:p>
      <w:pPr>
        <w:spacing w:after="4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Borders>
              <w:top w:val="single" w:color="CFD8DC" w:sz="1"/>
              <w:left w:val="single" w:color="CFD8DC" w:sz="1"/>
              <w:bottom w:val="single" w:color="CFD8DC" w:sz="1"/>
              <w:right w:val="single" w:color="CFD8DC" w:sz="1"/>
            </w:tcBorders>
            <w:shd w:fill="F8F9FA" w:val="clear"/>
            <w:tcMar>
              <w:top w:type="dxa" w:w="140"/>
              <w:left w:type="dxa" w:w="220"/>
              <w:bottom w:type="dxa" w:w="280"/>
              <w:right w:type="dxa" w:w="220"/>
            </w:tcMar>
          </w:tcPr>
          <w:p>
            <w:pPr>
              <w:spacing w:after="100" w:before="0"/>
            </w:pPr>
            <w:r>
              <w:rPr>
                <w:rFonts w:ascii="Calibri" w:cs="Calibri" w:eastAsia="Calibri" w:hAnsi="Calibri"/>
                <w:b/>
                <w:bCs/>
                <w:color w:val="0D2137"/>
                <w:sz w:val="21"/>
                <w:szCs w:val="21"/>
              </w:rPr>
              <w:t xml:space="preserve">Pour l'Équipe Projet MOBI-ASSUR</w:t>
            </w:r>
          </w:p>
          <w:p>
            <w:pPr>
              <w:spacing w:after="80" w:before="80"/>
            </w:pPr>
            <w:r>
              <w:rPr>
                <w:rFonts w:ascii="Calibri" w:cs="Calibri" w:eastAsia="Calibri" w:hAnsi="Calibri"/>
                <w:color w:val="3A3A3C"/>
                <w:sz w:val="18"/>
                <w:szCs w:val="18"/>
              </w:rPr>
              <w:t xml:space="preserve">Nom &amp; Prénom : _______________________</w:t>
            </w:r>
          </w:p>
          <w:p>
            <w:pPr>
              <w:spacing w:after="80" w:before="80"/>
            </w:pPr>
            <w:r>
              <w:rPr>
                <w:rFonts w:ascii="Calibri" w:cs="Calibri" w:eastAsia="Calibri" w:hAnsi="Calibri"/>
                <w:color w:val="3A3A3C"/>
                <w:sz w:val="18"/>
                <w:szCs w:val="18"/>
              </w:rPr>
              <w:t xml:space="preserve">Fonction : ___________________________</w:t>
            </w:r>
          </w:p>
          <w:p>
            <w:pPr>
              <w:spacing w:after="80" w:before="80"/>
            </w:pPr>
            <w:r>
              <w:rPr>
                <w:rFonts w:ascii="Calibri" w:cs="Calibri" w:eastAsia="Calibri" w:hAnsi="Calibri"/>
                <w:color w:val="3A3A3C"/>
                <w:sz w:val="18"/>
                <w:szCs w:val="18"/>
              </w:rPr>
              <w:t xml:space="preserve">Date : _______________________________</w:t>
            </w:r>
          </w:p>
          <w:p>
            <w:pPr>
              <w:spacing w:after="0" w:before="80"/>
            </w:pPr>
            <w:r>
              <w:rPr>
                <w:rFonts w:ascii="Calibri" w:cs="Calibri" w:eastAsia="Calibri" w:hAnsi="Calibri"/>
                <w:color w:val="3A3A3C"/>
                <w:sz w:val="18"/>
                <w:szCs w:val="18"/>
              </w:rPr>
              <w:t xml:space="preserve">Signature : __________________________</w:t>
            </w:r>
          </w:p>
        </w:tc>
        <w:tc>
          <w:tcPr>
            <w:tcBorders>
              <w:top w:val="single" w:color="2E7D32" w:sz="1"/>
              <w:left w:val="single" w:color="2E7D32" w:sz="1"/>
              <w:bottom w:val="single" w:color="2E7D32" w:sz="1"/>
              <w:right w:val="single" w:color="2E7D32" w:sz="1"/>
            </w:tcBorders>
            <w:shd w:fill="E8F5E9" w:val="clear"/>
            <w:tcMar>
              <w:top w:type="dxa" w:w="140"/>
              <w:left w:type="dxa" w:w="220"/>
              <w:bottom w:type="dxa" w:w="280"/>
              <w:right w:type="dxa" w:w="220"/>
            </w:tcMar>
          </w:tcPr>
          <w:p>
            <w:pPr>
              <w:spacing w:after="100" w:before="0"/>
            </w:pPr>
            <w:r>
              <w:rPr>
                <w:rFonts w:ascii="Calibri" w:cs="Calibri" w:eastAsia="Calibri" w:hAnsi="Calibri"/>
                <w:b/>
                <w:bCs/>
                <w:color w:val="0D2137"/>
                <w:sz w:val="21"/>
                <w:szCs w:val="21"/>
              </w:rPr>
              <w:t xml:space="preserve">Décision du Directeur Général — BCI</w:t>
            </w:r>
          </w:p>
          <w:p>
            <w:pPr>
              <w:spacing w:after="80" w:before="80"/>
            </w:pPr>
            <w:r>
              <w:rPr>
                <w:rFonts w:ascii="Calibri" w:cs="Calibri" w:eastAsia="Calibri" w:hAnsi="Calibri"/>
                <w:color w:val="3A3A3C"/>
                <w:sz w:val="18"/>
                <w:szCs w:val="18"/>
              </w:rPr>
              <w:t xml:space="preserve">Nom &amp; Prénom : _______________________</w:t>
            </w:r>
          </w:p>
          <w:p>
            <w:pPr>
              <w:spacing w:after="80" w:before="80"/>
            </w:pPr>
            <w:r>
              <w:rPr>
                <w:rFonts w:ascii="Calibri" w:cs="Calibri" w:eastAsia="Calibri" w:hAnsi="Calibri"/>
                <w:b/>
                <w:bCs/>
                <w:color w:val="2E7D32"/>
                <w:sz w:val="18"/>
                <w:szCs w:val="18"/>
              </w:rPr>
              <w:t xml:space="preserve">☐  APPROUVÉ — démarrage autorisé</w:t>
            </w:r>
          </w:p>
          <w:p>
            <w:pPr>
              <w:spacing w:after="80" w:before="80"/>
            </w:pPr>
            <w:r>
              <w:rPr>
                <w:rFonts w:ascii="Calibri" w:cs="Calibri" w:eastAsia="Calibri" w:hAnsi="Calibri"/>
                <w:color w:val="3A3A3C"/>
                <w:sz w:val="18"/>
                <w:szCs w:val="18"/>
              </w:rPr>
              <w:t xml:space="preserve">☐  AJOURNÉ — motif : ________________</w:t>
            </w:r>
          </w:p>
          <w:p>
            <w:pPr>
              <w:spacing w:after="80" w:before="80"/>
            </w:pPr>
            <w:r>
              <w:rPr>
                <w:rFonts w:ascii="Calibri" w:cs="Calibri" w:eastAsia="Calibri" w:hAnsi="Calibri"/>
                <w:color w:val="3A3A3C"/>
                <w:sz w:val="18"/>
                <w:szCs w:val="18"/>
              </w:rPr>
              <w:t xml:space="preserve">Date : _______________________________</w:t>
            </w:r>
          </w:p>
          <w:p>
            <w:pPr>
              <w:spacing w:after="0" w:before="80"/>
            </w:pPr>
            <w:r>
              <w:rPr>
                <w:rFonts w:ascii="Calibri" w:cs="Calibri" w:eastAsia="Calibri" w:hAnsi="Calibri"/>
                <w:color w:val="3A3A3C"/>
                <w:sz w:val="18"/>
                <w:szCs w:val="18"/>
              </w:rPr>
              <w:t xml:space="preserve">Cachet &amp; Signature DG : ______________</w:t>
            </w:r>
          </w:p>
        </w:tc>
      </w:tr>
    </w:tbl>
    <w:p>
      <w:pPr>
        <w:spacing w:after="40" w:before="40"/>
      </w:pPr>
      <w:r>
        <w:t xml:space="preserve"/>
      </w:r>
    </w:p>
    <w:p>
      <w:pPr>
        <w:spacing w:after="40" w:before="40"/>
      </w:pPr>
      <w:r>
        <w:t xml:space="preserve"/>
      </w:r>
    </w:p>
    <w:p>
      <w:pPr>
        <w:shd w:fill="0A1628" w:val="clear"/>
        <w:spacing w:after="120" w:before="120"/>
        <w:jc w:val="center"/>
      </w:pPr>
      <w:r>
        <w:rPr>
          <w:rFonts w:ascii="Calibri" w:cs="Calibri" w:eastAsia="Calibri" w:hAnsi="Calibri"/>
          <w:b/>
          <w:bCs/>
          <w:color w:val="38BDF8"/>
          <w:sz w:val="32"/>
          <w:szCs w:val="32"/>
        </w:rPr>
        <w:t xml:space="preserve">MOBI-ASSUR CAMEROUN  —  L'ASSURANCE SANS LIMITES</w:t>
      </w:r>
    </w:p>
    <w:p>
      <w:pPr>
        <w:spacing w:after="40" w:before="40"/>
      </w:pPr>
      <w:r>
        <w:t xml:space="preserve"/>
      </w:r>
    </w:p>
    <w:p>
      <w:pPr>
        <w:spacing w:after="20" w:before="0"/>
        <w:jc w:val="center"/>
      </w:pPr>
      <w:r>
        <w:rPr>
          <w:rFonts w:ascii="Calibri" w:cs="Calibri" w:eastAsia="Calibri" w:hAnsi="Calibri"/>
          <w:i/>
          <w:iCs/>
          <w:color w:val="8E8E93"/>
          <w:sz w:val="19"/>
          <w:szCs w:val="19"/>
        </w:rPr>
        <w:t xml:space="preserve">— Fin de la Proposition Commerciale —</w:t>
      </w:r>
    </w:p>
    <w:p>
      <w:pPr>
        <w:spacing w:after="0" w:before="0"/>
        <w:jc w:val="center"/>
      </w:pPr>
      <w:r>
        <w:rPr>
          <w:rFonts w:ascii="Calibri" w:cs="Calibri" w:eastAsia="Calibri" w:hAnsi="Calibri"/>
          <w:color w:val="8E8E93"/>
          <w:sz w:val="17"/>
          <w:szCs w:val="17"/>
        </w:rPr>
        <w:t xml:space="preserve">Bethel Comprehensive Insurance Ltd  ·  Yaoundé, Cameroun  ·  Réf. BP-MOBI-ASSUR-2026-003  ·  Juin 2026</w:t>
      </w:r>
    </w:p>
    <w:sectPr>
      <w:headerReference w:type="default" r:id="rId7"/>
      <w:footerReference w:type="default" r:id="rId8"/>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2"/>
      </w:pBdr>
      <w:spacing w:after="0" w:before="60"/>
      <w:jc w:val="center"/>
    </w:pPr>
    <w:r>
      <w:rPr>
        <w:rFonts w:ascii="Calibri" w:cs="Calibri" w:eastAsia="Calibri" w:hAnsi="Calibri"/>
        <w:color w:val="AAAAAA"/>
        <w:sz w:val="15"/>
        <w:szCs w:val="15"/>
      </w:rPr>
      <w:t xml:space="preserve">Bethel Comprehensive Insurance Ltd  ·  Document Confidentiel  ·  Usage interne uniquement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2"/>
      </w:pBdr>
      <w:spacing w:after="60" w:before="0"/>
      <w:jc w:val="right"/>
    </w:pPr>
    <w:r>
      <w:rPr>
        <w:rFonts w:ascii="Calibri" w:cs="Calibri" w:eastAsia="Calibri" w:hAnsi="Calibri"/>
        <w:color w:val="AAAAAA"/>
        <w:sz w:val="15"/>
        <w:szCs w:val="15"/>
      </w:rPr>
      <w:t xml:space="preserve">CONFIDENTIEL  |  MOBI-ASSUR CAMEROUN  |  Business Proposal — Réf. BP-MOBI-ASSUR-2026-003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2026-06-06T12:41:47.025Z</dcterms:created>
  <dcterms:modified xsi:type="dcterms:W3CDTF">2026-06-06T12:41:47.037Z</dcterms:modified>
</cp:coreProperties>
</file>

<file path=docProps/custom.xml><?xml version="1.0" encoding="utf-8"?>
<Properties xmlns="http://schemas.openxmlformats.org/officeDocument/2006/custom-properties" xmlns:vt="http://schemas.openxmlformats.org/officeDocument/2006/docPropsVTypes"/>
</file>