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Intersectional Machines</w:t>
      </w:r>
    </w:p>
    <w:p>
      <w:pPr>
        <w:jc w:val="left"/>
      </w:pPr>
      <w:r>
        <w:rPr>
          <w:i/>
        </w:rPr>
        <w:t>A Feminist Digital Humanities Approach to AI — Course Portfolio Overview</w:t>
      </w:r>
    </w:p>
    <w:p>
      <w:r>
        <w:t>Angely Suarez DeJesus · ENG 6813 Interdisciplinary Teaching</w:t>
      </w:r>
    </w:p>
    <w:p>
      <w:pPr>
        <w:pStyle w:val="Heading1"/>
      </w:pPr>
      <w:r>
        <w:t>1. The course in brief</w:t>
      </w:r>
    </w:p>
    <w:p>
      <w:r>
        <w:t>The course asks one question: how does generative AI shape who we are? Students read feminist and intersectional theory, use generative AI directly and log every interaction in a prompt journal, and then build something that argues from what they found. Reading, writing and making are treated as one continuous practice rather than three separate skills.</w:t>
      </w:r>
    </w:p>
    <w:p>
      <w:r>
        <w:t>The critical stance is not anti-AI. Students are not asked to trust the technology or to reject it, but to understand its affordances and limits by working with it and documenting what it does to identity. Every student makes something: there is no writing-only path through the capstone.</w:t>
      </w:r>
    </w:p>
    <w:p>
      <w:pPr>
        <w:pStyle w:val="Heading1"/>
      </w:pPr>
      <w:r>
        <w:t>2. Where the course sits</w:t>
      </w:r>
    </w:p>
    <w:p>
      <w:r>
        <w:t>The course is designed as an upper-division offering, ENG4237, for juniors and seniors who have completed first-year composition and at least one 2000-level literature, writing, or digital humanities course. No technical background is assumed, and no prior coursework in digital humanities or feminist theory.</w:t>
      </w:r>
    </w:p>
    <w:p>
      <w:r>
        <w:t>Many students arrive from Valencia College through the Direct Connect program, and the course is built so that a transfer student and a native four-year student begin on equal footing.</w:t>
      </w:r>
    </w:p>
    <w:p>
      <w:pPr>
        <w:pStyle w:val="Heading1"/>
      </w:pPr>
      <w:r>
        <w:t>3. Objectives</w:t>
      </w:r>
    </w:p>
    <w:p>
      <w:pPr>
        <w:pStyle w:val="ListBullet"/>
      </w:pPr>
      <w:r>
        <w:t>Identify and apply key concepts from feminist theory, intersectionality and critical making to the AI tools and texts used in the course.</w:t>
      </w:r>
    </w:p>
    <w:p>
      <w:pPr>
        <w:pStyle w:val="ListBullet"/>
      </w:pPr>
      <w:r>
        <w:t>Analyse how generative AI represents identity across race, gender, class and language, and evaluate how those representations shape what counts as legitimate.</w:t>
      </w:r>
    </w:p>
    <w:p>
      <w:pPr>
        <w:pStyle w:val="ListBullet"/>
      </w:pPr>
      <w:r>
        <w:t>Assess and critique how generative outputs reflect epistemologies that remove intersectional experience.</w:t>
      </w:r>
    </w:p>
    <w:p>
      <w:pPr>
        <w:pStyle w:val="ListBullet"/>
      </w:pPr>
      <w:r>
        <w:t>Interrogate AI-generated artifacts, textual and visual, as rhetorically malleable constructs shaped by data and design choices rather than neutral information.</w:t>
      </w:r>
    </w:p>
    <w:p>
      <w:pPr>
        <w:pStyle w:val="ListBullet"/>
      </w:pPr>
      <w:r>
        <w:t>Generate and document interactions with AI tools through a semester-long prompt journal.</w:t>
      </w:r>
    </w:p>
    <w:p>
      <w:pPr>
        <w:pStyle w:val="ListBullet"/>
      </w:pPr>
      <w:r>
        <w:t>Design and build a small research project auditing AI tools from a feminist standpoint through chosen identity markers.</w:t>
      </w:r>
    </w:p>
    <w:p>
      <w:pPr>
        <w:pStyle w:val="Heading1"/>
      </w:pPr>
      <w:r>
        <w:t>4. Unit structure</w:t>
      </w:r>
    </w:p>
    <w:p>
      <w:r>
        <w:t>Seventeen calendar weeks; sixteen instructional, with Thanksgiving recess in week 14. Each journal checkpoint falls on a unit boundary.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Unit</w:t>
            </w:r>
          </w:p>
        </w:tc>
        <w:tc>
          <w:tcPr>
            <w:tcW w:type="dxa" w:w="2340"/>
          </w:tcPr>
          <w:p>
            <w:r>
              <w:rPr>
                <w:b/>
              </w:rPr>
              <w:t>Weeks</w:t>
            </w:r>
          </w:p>
        </w:tc>
        <w:tc>
          <w:tcPr>
            <w:tcW w:type="dxa" w:w="2340"/>
          </w:tcPr>
          <w:p>
            <w:r>
              <w:rPr>
                <w:b/>
              </w:rPr>
              <w:t>Focus</w:t>
            </w:r>
          </w:p>
        </w:tc>
        <w:tc>
          <w:tcPr>
            <w:tcW w:type="dxa" w:w="2340"/>
          </w:tcPr>
          <w:p>
            <w:r>
              <w:rPr>
                <w:b/>
              </w:rPr>
              <w:t>Checkpoint</w:t>
            </w:r>
          </w:p>
        </w:tc>
      </w:tr>
      <w:tr>
        <w:tc>
          <w:tcPr>
            <w:tcW w:type="dxa" w:w="2340"/>
          </w:tcPr>
          <w:p>
            <w:r>
              <w:t>1 — Foundations</w:t>
            </w:r>
          </w:p>
        </w:tc>
        <w:tc>
          <w:tcPr>
            <w:tcW w:type="dxa" w:w="2340"/>
          </w:tcPr>
          <w:p>
            <w:r>
              <w:t>1–5</w:t>
            </w:r>
          </w:p>
        </w:tc>
        <w:tc>
          <w:tcPr>
            <w:tcW w:type="dxa" w:w="2340"/>
          </w:tcPr>
          <w:p>
            <w:r>
              <w:t>Feminist and intersectional theory; how generative AI works</w:t>
            </w:r>
          </w:p>
        </w:tc>
        <w:tc>
          <w:tcPr>
            <w:tcW w:type="dxa" w:w="2340"/>
          </w:tcPr>
          <w:p>
            <w:r>
              <w:t>Journal Part 1 (wk 5)</w:t>
            </w:r>
          </w:p>
        </w:tc>
      </w:tr>
      <w:tr>
        <w:tc>
          <w:tcPr>
            <w:tcW w:type="dxa" w:w="2340"/>
          </w:tcPr>
          <w:p>
            <w:r>
              <w:t>2 — Writing &amp; Visualising</w:t>
            </w:r>
          </w:p>
        </w:tc>
        <w:tc>
          <w:tcPr>
            <w:tcW w:type="dxa" w:w="2340"/>
          </w:tcPr>
          <w:p>
            <w:r>
              <w:t>6–9</w:t>
            </w:r>
          </w:p>
        </w:tc>
        <w:tc>
          <w:tcPr>
            <w:tcW w:type="dxa" w:w="2340"/>
          </w:tcPr>
          <w:p>
            <w:r>
              <w:t>Prompting as rhetorical practice; bias case studies</w:t>
            </w:r>
          </w:p>
        </w:tc>
        <w:tc>
          <w:tcPr>
            <w:tcW w:type="dxa" w:w="2340"/>
          </w:tcPr>
          <w:p>
            <w:r>
              <w:t>Journal Part 2 (wk 9)</w:t>
            </w:r>
          </w:p>
        </w:tc>
      </w:tr>
      <w:tr>
        <w:tc>
          <w:tcPr>
            <w:tcW w:type="dxa" w:w="2340"/>
          </w:tcPr>
          <w:p>
            <w:r>
              <w:t>3 — Making as Inquiry</w:t>
            </w:r>
          </w:p>
        </w:tc>
        <w:tc>
          <w:tcPr>
            <w:tcW w:type="dxa" w:w="2340"/>
          </w:tcPr>
          <w:p>
            <w:r>
              <w:t>10–13</w:t>
            </w:r>
          </w:p>
        </w:tc>
        <w:tc>
          <w:tcPr>
            <w:tcW w:type="dxa" w:w="2340"/>
          </w:tcPr>
          <w:p>
            <w:r>
              <w:t>Flattening, reconstruction, erasure; critical making</w:t>
            </w:r>
          </w:p>
        </w:tc>
        <w:tc>
          <w:tcPr>
            <w:tcW w:type="dxa" w:w="2340"/>
          </w:tcPr>
          <w:p>
            <w:r>
              <w:t>Journal Part 3 (wk 13)</w:t>
            </w:r>
          </w:p>
        </w:tc>
      </w:tr>
      <w:tr>
        <w:tc>
          <w:tcPr>
            <w:tcW w:type="dxa" w:w="2340"/>
          </w:tcPr>
          <w:p>
            <w:r>
              <w:t>4 — Creating a Response</w:t>
            </w:r>
          </w:p>
        </w:tc>
        <w:tc>
          <w:tcPr>
            <w:tcW w:type="dxa" w:w="2340"/>
          </w:tcPr>
          <w:p>
            <w:r>
              <w:t>14–17</w:t>
            </w:r>
          </w:p>
        </w:tc>
        <w:tc>
          <w:tcPr>
            <w:tcW w:type="dxa" w:w="2340"/>
          </w:tcPr>
          <w:p>
            <w:r>
              <w:t>Building and defending the final artifact</w:t>
            </w:r>
          </w:p>
        </w:tc>
        <w:tc>
          <w:tcPr>
            <w:tcW w:type="dxa" w:w="2340"/>
          </w:tcPr>
          <w:p>
            <w:r>
              <w:t>Final artifact (wk 17)</w:t>
            </w:r>
          </w:p>
        </w:tc>
      </w:tr>
    </w:tbl>
    <w:p/>
    <w:p>
      <w:r>
        <w:t>The week rhythm is constant: Monday discussion of the assigned reading, Wednesday Theory Lab applying it to live AI tools, Friday workshop building journal entries.</w:t>
      </w:r>
    </w:p>
    <w:p>
      <w:pPr>
        <w:pStyle w:val="Heading1"/>
      </w:pPr>
      <w:r>
        <w:t>5. Grade structure</w:t>
      </w:r>
    </w:p>
    <w:p>
      <w:r>
        <w:t>1000 points. The journal is graded once, at its three checkpoints — the signature assignment rubric scores the artifact and the written reflection only.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Weight</w:t>
            </w:r>
          </w:p>
        </w:tc>
        <w:tc>
          <w:tcPr>
            <w:tcW w:type="dxa" w:w="3120"/>
          </w:tcPr>
          <w:p>
            <w:r>
              <w:rPr>
                <w:b/>
              </w:rPr>
              <w:t>Points</w:t>
            </w:r>
          </w:p>
        </w:tc>
      </w:tr>
      <w:tr>
        <w:tc>
          <w:tcPr>
            <w:tcW w:type="dxa" w:w="3120"/>
          </w:tcPr>
          <w:p>
            <w:r>
              <w:t>Low-Stakes 1 — Claude Artifact / Textual Map</w:t>
            </w:r>
          </w:p>
        </w:tc>
        <w:tc>
          <w:tcPr>
            <w:tcW w:type="dxa" w:w="3120"/>
          </w:tcPr>
          <w:p>
            <w:r>
              <w:t>5%</w:t>
            </w:r>
          </w:p>
        </w:tc>
        <w:tc>
          <w:tcPr>
            <w:tcW w:type="dxa" w:w="3120"/>
          </w:tcPr>
          <w:p>
            <w:r>
              <w:t>50</w:t>
            </w:r>
          </w:p>
        </w:tc>
      </w:tr>
      <w:tr>
        <w:tc>
          <w:tcPr>
            <w:tcW w:type="dxa" w:w="3120"/>
          </w:tcPr>
          <w:p>
            <w:r>
              <w:t>Journal Submission 1</w:t>
            </w:r>
          </w:p>
        </w:tc>
        <w:tc>
          <w:tcPr>
            <w:tcW w:type="dxa" w:w="3120"/>
          </w:tcPr>
          <w:p>
            <w:r>
              <w:t>10%</w:t>
            </w:r>
          </w:p>
        </w:tc>
        <w:tc>
          <w:tcPr>
            <w:tcW w:type="dxa" w:w="3120"/>
          </w:tcPr>
          <w:p>
            <w:r>
              <w:t>100</w:t>
            </w:r>
          </w:p>
        </w:tc>
      </w:tr>
      <w:tr>
        <w:tc>
          <w:tcPr>
            <w:tcW w:type="dxa" w:w="3120"/>
          </w:tcPr>
          <w:p>
            <w:r>
              <w:t>Journal Submission 2</w:t>
            </w:r>
          </w:p>
        </w:tc>
        <w:tc>
          <w:tcPr>
            <w:tcW w:type="dxa" w:w="3120"/>
          </w:tcPr>
          <w:p>
            <w:r>
              <w:t>10%</w:t>
            </w:r>
          </w:p>
        </w:tc>
        <w:tc>
          <w:tcPr>
            <w:tcW w:type="dxa" w:w="3120"/>
          </w:tcPr>
          <w:p>
            <w:r>
              <w:t>100</w:t>
            </w:r>
          </w:p>
        </w:tc>
      </w:tr>
      <w:tr>
        <w:tc>
          <w:tcPr>
            <w:tcW w:type="dxa" w:w="3120"/>
          </w:tcPr>
          <w:p>
            <w:r>
              <w:t>Journal Submission 3</w:t>
            </w:r>
          </w:p>
        </w:tc>
        <w:tc>
          <w:tcPr>
            <w:tcW w:type="dxa" w:w="3120"/>
          </w:tcPr>
          <w:p>
            <w:r>
              <w:t>10%</w:t>
            </w:r>
          </w:p>
        </w:tc>
        <w:tc>
          <w:tcPr>
            <w:tcW w:type="dxa" w:w="3120"/>
          </w:tcPr>
          <w:p>
            <w:r>
              <w:t>100</w:t>
            </w:r>
          </w:p>
        </w:tc>
      </w:tr>
      <w:tr>
        <w:tc>
          <w:tcPr>
            <w:tcW w:type="dxa" w:w="3120"/>
          </w:tcPr>
          <w:p>
            <w:r>
              <w:t>Weekly reflections + peer responses (participation)</w:t>
            </w:r>
          </w:p>
        </w:tc>
        <w:tc>
          <w:tcPr>
            <w:tcW w:type="dxa" w:w="3120"/>
          </w:tcPr>
          <w:p>
            <w:r>
              <w:t>10%</w:t>
            </w:r>
          </w:p>
        </w:tc>
        <w:tc>
          <w:tcPr>
            <w:tcW w:type="dxa" w:w="3120"/>
          </w:tcPr>
          <w:p>
            <w:r>
              <w:t>100</w:t>
            </w:r>
          </w:p>
        </w:tc>
      </w:tr>
      <w:tr>
        <w:tc>
          <w:tcPr>
            <w:tcW w:type="dxa" w:w="3120"/>
          </w:tcPr>
          <w:p>
            <w:r>
              <w:t>Final artifact (capstone)</w:t>
            </w:r>
          </w:p>
        </w:tc>
        <w:tc>
          <w:tcPr>
            <w:tcW w:type="dxa" w:w="3120"/>
          </w:tcPr>
          <w:p>
            <w:r>
              <w:t>45%</w:t>
            </w:r>
          </w:p>
        </w:tc>
        <w:tc>
          <w:tcPr>
            <w:tcW w:type="dxa" w:w="3120"/>
          </w:tcPr>
          <w:p>
            <w:r>
              <w:t>450</w:t>
            </w:r>
          </w:p>
        </w:tc>
      </w:tr>
      <w:tr>
        <w:tc>
          <w:tcPr>
            <w:tcW w:type="dxa" w:w="3120"/>
          </w:tcPr>
          <w:p>
            <w:r>
              <w:t>Written response</w:t>
            </w:r>
          </w:p>
        </w:tc>
        <w:tc>
          <w:tcPr>
            <w:tcW w:type="dxa" w:w="3120"/>
          </w:tcPr>
          <w:p>
            <w:r>
              <w:t>10%</w:t>
            </w:r>
          </w:p>
        </w:tc>
        <w:tc>
          <w:tcPr>
            <w:tcW w:type="dxa" w:w="3120"/>
          </w:tcPr>
          <w:p>
            <w:r>
              <w:t>100</w:t>
            </w:r>
          </w:p>
        </w:tc>
      </w:tr>
      <w:tr>
        <w:tc>
          <w:tcPr>
            <w:tcW w:type="dxa" w:w="3120"/>
          </w:tcPr>
          <w:p>
            <w:r>
              <w:t>Total</w:t>
            </w:r>
          </w:p>
        </w:tc>
        <w:tc>
          <w:tcPr>
            <w:tcW w:type="dxa" w:w="3120"/>
          </w:tcPr>
          <w:p>
            <w:r>
              <w:t>100%</w:t>
            </w:r>
          </w:p>
        </w:tc>
        <w:tc>
          <w:tcPr>
            <w:tcW w:type="dxa" w:w="3120"/>
          </w:tcPr>
          <w:p>
            <w:r>
              <w:t>1000</w:t>
            </w:r>
          </w:p>
        </w:tc>
      </w:tr>
    </w:tbl>
    <w:p/>
    <w:p>
      <w:pPr>
        <w:pStyle w:val="Heading1"/>
      </w:pPr>
      <w:r>
        <w:t>6. Assignments</w:t>
      </w:r>
    </w:p>
    <w:p>
      <w:pPr>
        <w:pStyle w:val="Heading2"/>
      </w:pPr>
      <w:r>
        <w:t>Low-Stakes 1 — Textual Mapping (5%, 50 pts, week 3)</w:t>
      </w:r>
    </w:p>
    <w:p>
      <w:r>
        <w:t>Students choose 2–3 identity markers, run 10–20 prompts through Claude, and ask it to generate a textual map of its own outputs — tropes, linguistic patterns and historical epistemologies. Findings go into a discussion post with two peer responses. This is the first entry in the prompt journal and the method rehearsal for the capstone. Forked per pathway: the Valencia version uses the Crenshaw already read in week 3 and asks for one peer response, so it introduces no new reading.</w:t>
      </w:r>
    </w:p>
    <w:p>
      <w:pPr>
        <w:pStyle w:val="Heading2"/>
      </w:pPr>
      <w:r>
        <w:t>Signature Assignment — Identity Construction Through AI (55%)</w:t>
      </w:r>
    </w:p>
    <w:p>
      <w:r>
        <w:t>A semester-long audit of a generative AI system through 2–3 identity markers, delivered as a made artifact plus a 500–800 word reflection.</w:t>
      </w:r>
    </w:p>
    <w:p>
      <w:r>
        <w:t>Two independent decisions, neither of which affects the grade: whether to prompt AI yourself or compile published outputs (research method), and whether AI helps build the artifact or you build it AI-free (production method). Splitting these means a student can study an AI system while refusing to let one touch their creative work, or the reverse.</w:t>
      </w:r>
    </w:p>
    <w:p>
      <w:r>
        <w:t>Artifact options: zine (digital or physical), short film, photo essay, physical craft, podcast episode, or an AI artifact. All but the AI artifact can be built AI-free. None assumes prior technical skill, and none is graded on polish.</w:t>
      </w:r>
    </w:p>
    <w:tbl>
      <w:tblPr>
        <w:tblStyle w:val="TableGrid"/>
        <w:tblW w:type="auto" w:w="0"/>
        <w:tblLook w:firstColumn="1" w:firstRow="1" w:lastColumn="0" w:lastRow="0" w:noHBand="0" w:noVBand="1" w:val="04A0"/>
      </w:tblPr>
      <w:tblGrid>
        <w:gridCol w:w="4680"/>
        <w:gridCol w:w="4680"/>
      </w:tblGrid>
      <w:tr>
        <w:tc>
          <w:tcPr>
            <w:tcW w:type="dxa" w:w="4680"/>
          </w:tcPr>
          <w:p>
            <w:r>
              <w:rPr>
                <w:b/>
              </w:rPr>
              <w:t>Criterion</w:t>
            </w:r>
          </w:p>
        </w:tc>
        <w:tc>
          <w:tcPr>
            <w:tcW w:type="dxa" w:w="4680"/>
          </w:tcPr>
          <w:p>
            <w:r>
              <w:rPr>
                <w:b/>
              </w:rPr>
              <w:t>Points</w:t>
            </w:r>
          </w:p>
        </w:tc>
      </w:tr>
      <w:tr>
        <w:tc>
          <w:tcPr>
            <w:tcW w:type="dxa" w:w="4680"/>
          </w:tcPr>
          <w:p>
            <w:r>
              <w:t>Argument &amp; Frameworks</w:t>
            </w:r>
          </w:p>
        </w:tc>
        <w:tc>
          <w:tcPr>
            <w:tcW w:type="dxa" w:w="4680"/>
          </w:tcPr>
          <w:p>
            <w:r>
              <w:t>35</w:t>
            </w:r>
          </w:p>
        </w:tc>
      </w:tr>
      <w:tr>
        <w:tc>
          <w:tcPr>
            <w:tcW w:type="dxa" w:w="4680"/>
          </w:tcPr>
          <w:p>
            <w:r>
              <w:t>The Artifact</w:t>
            </w:r>
          </w:p>
        </w:tc>
        <w:tc>
          <w:tcPr>
            <w:tcW w:type="dxa" w:w="4680"/>
          </w:tcPr>
          <w:p>
            <w:r>
              <w:t>40</w:t>
            </w:r>
          </w:p>
        </w:tc>
      </w:tr>
      <w:tr>
        <w:tc>
          <w:tcPr>
            <w:tcW w:type="dxa" w:w="4680"/>
          </w:tcPr>
          <w:p>
            <w:r>
              <w:t>Reflection &amp; Disclosure</w:t>
            </w:r>
          </w:p>
        </w:tc>
        <w:tc>
          <w:tcPr>
            <w:tcW w:type="dxa" w:w="4680"/>
          </w:tcPr>
          <w:p>
            <w:r>
              <w:t>25</w:t>
            </w:r>
          </w:p>
        </w:tc>
      </w:tr>
      <w:tr>
        <w:tc>
          <w:tcPr>
            <w:tcW w:type="dxa" w:w="4680"/>
          </w:tcPr>
          <w:p>
            <w:r>
              <w:t>Total</w:t>
            </w:r>
          </w:p>
        </w:tc>
        <w:tc>
          <w:tcPr>
            <w:tcW w:type="dxa" w:w="4680"/>
          </w:tcPr>
          <w:p>
            <w:r>
              <w:t>100</w:t>
            </w:r>
          </w:p>
        </w:tc>
      </w:tr>
    </w:tbl>
    <w:p/>
    <w:p>
      <w:pPr>
        <w:pStyle w:val="Heading1"/>
      </w:pPr>
      <w:r>
        <w:t>7. AI policy in brief</w:t>
      </w:r>
    </w:p>
    <w:p>
      <w:r>
        <w:t>AI is the object of critique and a required part of the work, by direct use or by documented observation. Permitted: being the subject of the critique, helping design or build the artifact with every use logged, and brainstorming under a strict guardrail — every AI-suggested idea is recorded verbatim in the journal, and the reflection must say where each idea came from and why it was kept, combined or dropped. Not permitted: replacing the student's own thinking, or drafting any part of their written responses. All use is disclosed with links and transcripts.</w:t>
      </w:r>
    </w:p>
    <w:p>
      <w:pPr>
        <w:pStyle w:val="Heading1"/>
      </w:pPr>
      <w:r>
        <w:t>8. Document index</w:t>
      </w:r>
    </w:p>
    <w:tbl>
      <w:tblPr>
        <w:tblStyle w:val="TableGrid"/>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What it is</w:t>
            </w:r>
          </w:p>
        </w:tc>
      </w:tr>
      <w:tr>
        <w:tc>
          <w:tcPr>
            <w:tcW w:type="dxa" w:w="4680"/>
          </w:tcPr>
          <w:p>
            <w:r>
              <w:t>1-UCF-ENG4237/</w:t>
            </w:r>
          </w:p>
        </w:tc>
        <w:tc>
          <w:tcPr>
            <w:tcW w:type="dxa" w:w="4680"/>
          </w:tcPr>
          <w:p>
            <w:r>
              <w:t>Syllabus, Signature Assignment, Low-Stakes 1</w:t>
            </w:r>
          </w:p>
        </w:tc>
      </w:tr>
      <w:tr>
        <w:tc>
          <w:tcPr>
            <w:tcW w:type="dxa" w:w="4680"/>
          </w:tcPr>
          <w:p>
            <w:r>
              <w:t>3-Shared/</w:t>
            </w:r>
          </w:p>
        </w:tc>
        <w:tc>
          <w:tcPr>
            <w:tcW w:type="dxa" w:w="4680"/>
          </w:tcPr>
          <w:p>
            <w:r>
              <w:t>Course Design rationale; Instructor Notes (not for distribution)</w:t>
            </w:r>
          </w:p>
        </w:tc>
      </w:tr>
      <w:tr>
        <w:tc>
          <w:tcPr>
            <w:tcW w:type="dxa" w:w="4680"/>
          </w:tcPr>
          <w:p>
            <w:r>
              <w:t>4-Originals-do not edit/</w:t>
            </w:r>
          </w:p>
        </w:tc>
        <w:tc>
          <w:tcPr>
            <w:tcW w:type="dxa" w:w="4680"/>
          </w:tcPr>
          <w:p>
            <w:r>
              <w:t>Pre-revision drafts, kept for provenance</w:t>
            </w:r>
          </w:p>
        </w:tc>
      </w:tr>
    </w:tbl>
    <w:p/>
    <w:p>
      <w:pPr>
        <w:pStyle w:val="Heading1"/>
      </w:pPr>
      <w:r>
        <w:t>9. What changed in revision</w:t>
      </w:r>
    </w:p>
    <w:p>
      <w:r>
        <w:t>The documents were drafted at different times and had drifted apart. The revision reconciled them:</w:t>
      </w:r>
    </w:p>
    <w:p>
      <w:pPr>
        <w:pStyle w:val="ListBullet"/>
      </w:pPr>
      <w:r>
        <w:t>The journal was being graded twice — as three checkpoints and again inside the signature rubric. It is now counted once; the rubric rescaled from 75 to 100 points.</w:t>
      </w:r>
    </w:p>
    <w:p>
      <w:pPr>
        <w:pStyle w:val="ListBullet"/>
      </w:pPr>
      <w:r>
        <w:t>Identity markers were specified as 1, 2–3 and 3 in different documents. Now 2–3 throughout, matching the rubric's own worked example, which combines gender and disability.</w:t>
      </w:r>
    </w:p>
    <w:p>
      <w:pPr>
        <w:pStyle w:val="ListBullet"/>
      </w:pPr>
      <w:r>
        <w:t>Five readings assigned in the project sheets appeared nowhere in the syllabus. Added.</w:t>
      </w:r>
    </w:p>
    <w:p>
      <w:pPr>
        <w:pStyle w:val="ListBullet"/>
      </w:pPr>
      <w:r>
        <w:t>The schedule carried a duplicate 'Week 2', so 17 calendar weeks wore 16 labels and every checkpoint reference was off by one. Renumbered, with unit bands added.</w:t>
      </w:r>
    </w:p>
    <w:p>
      <w:pPr>
        <w:pStyle w:val="ListBullet"/>
      </w:pPr>
      <w:r>
        <w:t>Five assignment due dates fell outside the week they were printed in. Normalised to the Friday of their own week.</w:t>
      </w:r>
    </w:p>
    <w:p>
      <w:pPr>
        <w:pStyle w:val="ListBullet"/>
      </w:pPr>
      <w:r>
        <w:t>The grading scale had no B+, C+ or D+, so its point ranges had stretched to swallow the missing bands and no longer matched their own percentage labels. Plus grades restored.</w:t>
      </w:r>
    </w:p>
    <w:p>
      <w:pPr>
        <w:pStyle w:val="ListBullet"/>
      </w:pPr>
      <w:r>
        <w:t>A 10-page essay option had crept into the signature assignment. The syllabus never listed an essay among the capstone options, and the course requires everyone to make something — removed.</w:t>
      </w:r>
    </w:p>
    <w:p>
      <w:pPr>
        <w:pStyle w:val="ListBullet"/>
      </w:pPr>
      <w:r>
        <w:t>Instructor-facing notes sitting in student-facing documents were moved to a separate memo.</w:t>
      </w:r>
    </w:p>
    <w:p>
      <w:pPr>
        <w:pStyle w:val="ListBullet"/>
      </w:pPr>
      <w:r>
        <w:t>The community college pathway was reduced after review: 25 assigned texts is a research-seminar load, not a 2000-level general education load. Core readings went from 14 to 9, case studies from 11 to 6 with students choosing 3, journal entries from 12 to 10, peer responses from 2 to 1, and week 4 became a catch-up week.</w:t>
      </w:r>
    </w:p>
    <w:p>
      <w:pPr>
        <w:pStyle w:val="ListBullet"/>
      </w:pPr>
      <w:r>
        <w:t>The reading list was reorganised so it matches what is actually taught. Section 4 previously showed 18 texts while the weekly schedule assigned 13; the five that belong to specific projects now sit in their own labelled sections. Section 5 was reframed as a menu -- choose 4 of 14 -- rather than a list students assume they must read in full.</w:t>
      </w:r>
    </w:p>
    <w:p>
      <w:pPr>
        <w:pStyle w:val="Heading1"/>
      </w:pPr>
      <w:r>
        <w:t>10. Open items</w:t>
      </w:r>
    </w:p>
    <w:p>
      <w:pPr>
        <w:pStyle w:val="ListBullet"/>
      </w:pPr>
      <w:r>
        <w:t>The published syllabus site still serves the pre-revision ENG1237 version, and its repository slug and URL both carry the old number.</w:t>
      </w:r>
    </w:p>
    <w:p>
      <w:pPr>
        <w:pStyle w:val="ListBullet"/>
      </w:pPr>
      <w:r>
        <w:t>The Low-Stakes 1 link in the syllabus points at a page that has not been built yet.</w:t>
      </w:r>
    </w:p>
    <w:p>
      <w:pPr>
        <w:pStyle w:val="ListBullet"/>
      </w:pPr>
      <w:r>
        <w:t>The university signature assignment states that OpenAI retired DALL·E in May 2026. Unverified — confirm before it reaches students.</w:t>
      </w:r>
    </w:p>
    <w:p>
      <w:pPr>
        <w:pStyle w:val="ListBullet"/>
      </w:pPr>
      <w:r>
        <w:t>Graduate credit would require a 5000-level companion number and a differentiated assignment tier, not a renumber.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