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4ED2" w14:textId="6381CB72" w:rsidR="00E9681C" w:rsidRDefault="00E968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Pr>
          <w:rFonts w:ascii="Helvetica" w:hAnsi="Helvetica" w:cs="Helvetica"/>
          <w:kern w:val="0"/>
          <w:sz w:val="24"/>
          <w:szCs w:val="24"/>
          <w:lang w:val="en-US"/>
        </w:rPr>
        <w:t xml:space="preserve">Link: </w:t>
      </w:r>
      <w:hyperlink r:id="rId5" w:history="1">
        <w:r w:rsidR="003C0ED5" w:rsidRPr="00A66378">
          <w:rPr>
            <w:rStyle w:val="Hyperlink"/>
            <w:rFonts w:ascii="Helvetica" w:hAnsi="Helvetica" w:cs="Helvetica"/>
            <w:kern w:val="0"/>
            <w:sz w:val="24"/>
            <w:szCs w:val="24"/>
            <w:lang w:val="en-US"/>
          </w:rPr>
          <w:t>https://smallbusiness.chron.com/metadata-word-documents-46186.html</w:t>
        </w:r>
      </w:hyperlink>
    </w:p>
    <w:p w14:paraId="743FB8F2" w14:textId="77777777" w:rsidR="003C0ED5" w:rsidRDefault="003C0E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303F8698" w14:textId="1B6E18E2" w:rsidR="00161B8C" w:rsidRPr="00E9681C"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sidRPr="00E9681C">
        <w:rPr>
          <w:rFonts w:ascii="Helvetica" w:hAnsi="Helvetica" w:cs="Helvetica"/>
          <w:kern w:val="0"/>
          <w:sz w:val="24"/>
          <w:szCs w:val="24"/>
          <w:lang w:val="en-US"/>
        </w:rPr>
        <w:t>Refugees</w:t>
      </w:r>
    </w:p>
    <w:p w14:paraId="101B34D6" w14:textId="77777777" w:rsidR="00161B8C" w:rsidRPr="00E9681C" w:rsidRDefault="00161B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7EC6B162" w14:textId="77777777" w:rsidR="00161B8C" w:rsidRPr="00E9681C" w:rsidRDefault="00000000">
      <w:pPr>
        <w:widowControl w:val="0"/>
        <w:autoSpaceDE w:val="0"/>
        <w:autoSpaceDN w:val="0"/>
        <w:adjustRightInd w:val="0"/>
        <w:spacing w:after="480" w:line="240" w:lineRule="auto"/>
        <w:rPr>
          <w:rFonts w:ascii="Helvetica" w:hAnsi="Helvetica" w:cs="Helvetica"/>
          <w:color w:val="313131"/>
          <w:kern w:val="0"/>
          <w:sz w:val="32"/>
          <w:szCs w:val="32"/>
          <w:lang w:val="en-US"/>
        </w:rPr>
      </w:pPr>
      <w:r w:rsidRPr="00E9681C">
        <w:rPr>
          <w:rFonts w:ascii="Helvetica-Bold" w:hAnsi="Helvetica-Bold" w:cs="Helvetica-Bold"/>
          <w:b/>
          <w:bCs/>
          <w:color w:val="313131"/>
          <w:kern w:val="0"/>
          <w:sz w:val="32"/>
          <w:szCs w:val="32"/>
          <w:lang w:val="en-US"/>
        </w:rPr>
        <w:t>A person granted refugee status or subsidiary protection:</w:t>
      </w:r>
    </w:p>
    <w:p w14:paraId="278FECEC" w14:textId="77777777" w:rsidR="00161B8C" w:rsidRPr="00E9681C"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313131"/>
          <w:kern w:val="0"/>
          <w:sz w:val="32"/>
          <w:szCs w:val="32"/>
          <w:lang w:val="en-US"/>
        </w:rPr>
      </w:pPr>
      <w:r w:rsidRPr="00E9681C">
        <w:rPr>
          <w:rFonts w:ascii="Helvetica" w:hAnsi="Helvetica" w:cs="Helvetica"/>
          <w:color w:val="313131"/>
          <w:kern w:val="0"/>
          <w:sz w:val="32"/>
          <w:szCs w:val="32"/>
          <w:lang w:val="en-US"/>
        </w:rPr>
        <w:t xml:space="preserve">Has the right of </w:t>
      </w:r>
      <w:r w:rsidRPr="00E9681C">
        <w:rPr>
          <w:rFonts w:ascii="Helvetica-Bold" w:hAnsi="Helvetica-Bold" w:cs="Helvetica-Bold"/>
          <w:b/>
          <w:bCs/>
          <w:color w:val="313131"/>
          <w:kern w:val="0"/>
          <w:sz w:val="32"/>
          <w:szCs w:val="32"/>
          <w:lang w:val="en-US"/>
        </w:rPr>
        <w:t>indefinite residence</w:t>
      </w:r>
      <w:r w:rsidRPr="00E9681C">
        <w:rPr>
          <w:rFonts w:ascii="Helvetica" w:hAnsi="Helvetica" w:cs="Helvetica"/>
          <w:color w:val="313131"/>
          <w:kern w:val="0"/>
          <w:sz w:val="32"/>
          <w:szCs w:val="32"/>
          <w:lang w:val="en-US"/>
        </w:rPr>
        <w:t xml:space="preserve"> in Poland.</w:t>
      </w:r>
    </w:p>
    <w:p w14:paraId="5780D800" w14:textId="77777777" w:rsidR="00161B8C" w:rsidRPr="00E9681C"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313131"/>
          <w:kern w:val="0"/>
          <w:sz w:val="32"/>
          <w:szCs w:val="32"/>
          <w:lang w:val="en-US"/>
        </w:rPr>
      </w:pPr>
      <w:r w:rsidRPr="00E9681C">
        <w:rPr>
          <w:rFonts w:ascii="Helvetica" w:hAnsi="Helvetica" w:cs="Helvetica"/>
          <w:color w:val="313131"/>
          <w:kern w:val="0"/>
          <w:sz w:val="32"/>
          <w:szCs w:val="32"/>
          <w:lang w:val="en-US"/>
        </w:rPr>
        <w:t xml:space="preserve">Receives a </w:t>
      </w:r>
      <w:r w:rsidRPr="00E9681C">
        <w:rPr>
          <w:rFonts w:ascii="Helvetica-Bold" w:hAnsi="Helvetica-Bold" w:cs="Helvetica-Bold"/>
          <w:b/>
          <w:bCs/>
          <w:color w:val="313131"/>
          <w:kern w:val="0"/>
          <w:sz w:val="32"/>
          <w:szCs w:val="32"/>
          <w:lang w:val="en-US"/>
        </w:rPr>
        <w:t>residence card</w:t>
      </w:r>
      <w:r w:rsidRPr="00E9681C">
        <w:rPr>
          <w:rFonts w:ascii="Helvetica" w:hAnsi="Helvetica" w:cs="Helvetica"/>
          <w:color w:val="313131"/>
          <w:kern w:val="0"/>
          <w:sz w:val="32"/>
          <w:szCs w:val="32"/>
          <w:lang w:val="en-US"/>
        </w:rPr>
        <w:t xml:space="preserve"> (valid for 3 years, with renewal) and a Geneva Travel Document (valid for 2 years, with renewal). In the case of subsidiary protection, this residence card is valid for 2 years, with renewal.</w:t>
      </w:r>
    </w:p>
    <w:p w14:paraId="04EB4FAC" w14:textId="77777777" w:rsidR="00161B8C" w:rsidRPr="00E9681C"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313131"/>
          <w:kern w:val="0"/>
          <w:sz w:val="32"/>
          <w:szCs w:val="32"/>
          <w:lang w:val="en-US"/>
        </w:rPr>
      </w:pPr>
      <w:r w:rsidRPr="00E9681C">
        <w:rPr>
          <w:rFonts w:ascii="Helvetica" w:hAnsi="Helvetica" w:cs="Helvetica"/>
          <w:color w:val="313131"/>
          <w:kern w:val="0"/>
          <w:sz w:val="32"/>
          <w:szCs w:val="32"/>
          <w:lang w:val="en-US"/>
        </w:rPr>
        <w:t xml:space="preserve">Has the </w:t>
      </w:r>
      <w:r w:rsidRPr="00E9681C">
        <w:rPr>
          <w:rFonts w:ascii="Helvetica-Bold" w:hAnsi="Helvetica-Bold" w:cs="Helvetica-Bold"/>
          <w:b/>
          <w:bCs/>
          <w:color w:val="313131"/>
          <w:kern w:val="0"/>
          <w:sz w:val="32"/>
          <w:szCs w:val="32"/>
          <w:lang w:val="en-US"/>
        </w:rPr>
        <w:t>same rights as Polish citizens, except the right to vote</w:t>
      </w:r>
      <w:r w:rsidRPr="00E9681C">
        <w:rPr>
          <w:rFonts w:ascii="Helvetica" w:hAnsi="Helvetica" w:cs="Helvetica"/>
          <w:color w:val="313131"/>
          <w:kern w:val="0"/>
          <w:sz w:val="32"/>
          <w:szCs w:val="32"/>
          <w:lang w:val="en-US"/>
        </w:rPr>
        <w:t>. This includes the right to live in Poland, travel, work and start a business without a special work permit, access education, receive social assistance including unemployment benefits, and access to the public health service.</w:t>
      </w:r>
    </w:p>
    <w:p w14:paraId="525C1A87" w14:textId="77777777" w:rsidR="00161B8C" w:rsidRPr="00E9681C"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313131"/>
          <w:kern w:val="0"/>
          <w:sz w:val="32"/>
          <w:szCs w:val="32"/>
          <w:lang w:val="en-US"/>
        </w:rPr>
      </w:pPr>
      <w:r w:rsidRPr="00E9681C">
        <w:rPr>
          <w:rFonts w:ascii="Helvetica" w:hAnsi="Helvetica" w:cs="Helvetica"/>
          <w:color w:val="313131"/>
          <w:kern w:val="0"/>
          <w:sz w:val="32"/>
          <w:szCs w:val="32"/>
          <w:lang w:val="en-US"/>
        </w:rPr>
        <w:t xml:space="preserve">Has access to </w:t>
      </w:r>
      <w:r w:rsidRPr="00E9681C">
        <w:rPr>
          <w:rFonts w:ascii="Helvetica-Bold" w:hAnsi="Helvetica-Bold" w:cs="Helvetica-Bold"/>
          <w:b/>
          <w:bCs/>
          <w:color w:val="313131"/>
          <w:kern w:val="0"/>
          <w:sz w:val="32"/>
          <w:szCs w:val="32"/>
          <w:lang w:val="en-US"/>
        </w:rPr>
        <w:t>integration assistance</w:t>
      </w:r>
      <w:r w:rsidRPr="00E9681C">
        <w:rPr>
          <w:rFonts w:ascii="Helvetica" w:hAnsi="Helvetica" w:cs="Helvetica"/>
          <w:color w:val="313131"/>
          <w:kern w:val="0"/>
          <w:sz w:val="32"/>
          <w:szCs w:val="32"/>
          <w:lang w:val="en-US"/>
        </w:rPr>
        <w:t xml:space="preserve"> for up to 12 months</w:t>
      </w:r>
    </w:p>
    <w:p w14:paraId="32728ADB" w14:textId="77777777" w:rsidR="00161B8C" w:rsidRPr="00E9681C" w:rsidRDefault="00161B8C">
      <w:pPr>
        <w:widowControl w:val="0"/>
        <w:tabs>
          <w:tab w:val="left" w:pos="566"/>
        </w:tabs>
        <w:autoSpaceDE w:val="0"/>
        <w:autoSpaceDN w:val="0"/>
        <w:adjustRightInd w:val="0"/>
        <w:spacing w:after="0" w:line="240" w:lineRule="auto"/>
        <w:rPr>
          <w:rFonts w:ascii="Helvetica" w:hAnsi="Helvetica" w:cs="Helvetica"/>
          <w:color w:val="313131"/>
          <w:kern w:val="0"/>
          <w:sz w:val="32"/>
          <w:szCs w:val="32"/>
          <w:lang w:val="en-US"/>
        </w:rPr>
      </w:pPr>
    </w:p>
    <w:p w14:paraId="6F45B6EB" w14:textId="77777777" w:rsidR="00161B8C" w:rsidRPr="00E9681C" w:rsidRDefault="00161B8C">
      <w:pPr>
        <w:widowControl w:val="0"/>
        <w:tabs>
          <w:tab w:val="left" w:pos="566"/>
        </w:tabs>
        <w:autoSpaceDE w:val="0"/>
        <w:autoSpaceDN w:val="0"/>
        <w:adjustRightInd w:val="0"/>
        <w:spacing w:after="0" w:line="240" w:lineRule="auto"/>
        <w:rPr>
          <w:rFonts w:ascii="Helvetica" w:hAnsi="Helvetica" w:cs="Helvetica"/>
          <w:color w:val="313131"/>
          <w:kern w:val="0"/>
          <w:sz w:val="32"/>
          <w:szCs w:val="32"/>
          <w:lang w:val="en-US"/>
        </w:rPr>
      </w:pPr>
    </w:p>
    <w:p w14:paraId="60873A86" w14:textId="77777777" w:rsidR="00161B8C" w:rsidRPr="00E9681C" w:rsidRDefault="00000000">
      <w:pPr>
        <w:widowControl w:val="0"/>
        <w:autoSpaceDE w:val="0"/>
        <w:autoSpaceDN w:val="0"/>
        <w:adjustRightInd w:val="0"/>
        <w:spacing w:after="320" w:line="240" w:lineRule="auto"/>
        <w:rPr>
          <w:rFonts w:ascii="Helvetica" w:hAnsi="Helvetica" w:cs="Helvetica"/>
          <w:color w:val="151515"/>
          <w:kern w:val="0"/>
          <w:sz w:val="32"/>
          <w:szCs w:val="32"/>
          <w:lang w:val="en-US"/>
        </w:rPr>
      </w:pPr>
      <w:r w:rsidRPr="00E9681C">
        <w:rPr>
          <w:rFonts w:ascii="Helvetica" w:hAnsi="Helvetica" w:cs="Helvetica"/>
          <w:color w:val="151515"/>
          <w:kern w:val="0"/>
          <w:sz w:val="32"/>
          <w:szCs w:val="32"/>
          <w:lang w:val="en-US"/>
        </w:rPr>
        <w:t xml:space="preserve">Application for granting asylum may be submitted while staying in the Republic of Poland or while staying abroad. The application is submitted directly to the Head of the Office for Foreigners. The application may also include other persons, in particular the spouse of the applicant or minor children. </w:t>
      </w:r>
    </w:p>
    <w:p w14:paraId="3EDD08E9" w14:textId="77777777" w:rsidR="00161B8C" w:rsidRPr="00E9681C" w:rsidRDefault="00000000">
      <w:pPr>
        <w:widowControl w:val="0"/>
        <w:autoSpaceDE w:val="0"/>
        <w:autoSpaceDN w:val="0"/>
        <w:adjustRightInd w:val="0"/>
        <w:spacing w:after="320" w:line="240" w:lineRule="auto"/>
        <w:rPr>
          <w:rFonts w:ascii="Helvetica" w:hAnsi="Helvetica" w:cs="Helvetica"/>
          <w:color w:val="151515"/>
          <w:kern w:val="0"/>
          <w:sz w:val="32"/>
          <w:szCs w:val="32"/>
          <w:lang w:val="en-US"/>
        </w:rPr>
      </w:pPr>
      <w:r w:rsidRPr="00E9681C">
        <w:rPr>
          <w:rFonts w:ascii="Helvetica" w:hAnsi="Helvetica" w:cs="Helvetica"/>
          <w:color w:val="151515"/>
          <w:kern w:val="0"/>
          <w:sz w:val="32"/>
          <w:szCs w:val="32"/>
          <w:lang w:val="en-US"/>
        </w:rPr>
        <w:t>There is no dedicated asylum application form, however asylum application must contain the following elements:</w:t>
      </w:r>
    </w:p>
    <w:p w14:paraId="40ABB181" w14:textId="77777777" w:rsidR="00161B8C" w:rsidRPr="00E9681C"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E9681C">
        <w:rPr>
          <w:rFonts w:ascii="Helvetica" w:hAnsi="Helvetica" w:cs="Helvetica"/>
          <w:color w:val="151515"/>
          <w:kern w:val="0"/>
          <w:sz w:val="32"/>
          <w:szCs w:val="32"/>
          <w:lang w:val="en-US"/>
        </w:rPr>
        <w:t>– personal details of the applicant and the person on whose behalf the applicant acts, within the scope necessary to grant asylum,</w:t>
      </w:r>
    </w:p>
    <w:p w14:paraId="15C57A0F" w14:textId="77777777" w:rsidR="00161B8C" w:rsidRPr="00E9681C"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E9681C">
        <w:rPr>
          <w:rFonts w:ascii="Helvetica" w:hAnsi="Helvetica" w:cs="Helvetica"/>
          <w:color w:val="151515"/>
          <w:kern w:val="0"/>
          <w:sz w:val="32"/>
          <w:szCs w:val="32"/>
          <w:lang w:val="en-US"/>
        </w:rPr>
        <w:t>– indication of the country of origin of the applicant and the person on whose behalf the applicant acts,</w:t>
      </w:r>
    </w:p>
    <w:p w14:paraId="53E83CE8" w14:textId="77777777" w:rsidR="00161B8C" w:rsidRPr="00E9681C"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313131"/>
          <w:kern w:val="0"/>
          <w:sz w:val="32"/>
          <w:szCs w:val="32"/>
          <w:lang w:val="en-US"/>
        </w:rPr>
      </w:pPr>
      <w:r w:rsidRPr="00E9681C">
        <w:rPr>
          <w:rFonts w:ascii="Helvetica" w:hAnsi="Helvetica" w:cs="Helvetica"/>
          <w:color w:val="151515"/>
          <w:kern w:val="0"/>
          <w:sz w:val="32"/>
          <w:szCs w:val="32"/>
          <w:lang w:val="en-US"/>
        </w:rPr>
        <w:t>– indication of key events serving as the basis for seeking asylum.</w:t>
      </w:r>
    </w:p>
    <w:p w14:paraId="0F75779C" w14:textId="77777777" w:rsidR="00161B8C" w:rsidRPr="00E9681C" w:rsidRDefault="00161B8C">
      <w:pPr>
        <w:widowControl w:val="0"/>
        <w:tabs>
          <w:tab w:val="left" w:pos="220"/>
          <w:tab w:val="left" w:pos="720"/>
        </w:tabs>
        <w:autoSpaceDE w:val="0"/>
        <w:autoSpaceDN w:val="0"/>
        <w:adjustRightInd w:val="0"/>
        <w:spacing w:after="0" w:line="240" w:lineRule="auto"/>
        <w:ind w:left="720" w:hanging="720"/>
        <w:rPr>
          <w:rFonts w:ascii="Helvetica" w:hAnsi="Helvetica" w:cs="Helvetica"/>
          <w:color w:val="313131"/>
          <w:kern w:val="0"/>
          <w:sz w:val="32"/>
          <w:szCs w:val="32"/>
          <w:lang w:val="en-US"/>
        </w:rPr>
      </w:pPr>
    </w:p>
    <w:p w14:paraId="287A61A8" w14:textId="77777777" w:rsidR="00D4250C" w:rsidRPr="00E9681C" w:rsidRDefault="00D4250C">
      <w:pPr>
        <w:widowControl w:val="0"/>
        <w:tabs>
          <w:tab w:val="left" w:pos="220"/>
          <w:tab w:val="left" w:pos="720"/>
        </w:tabs>
        <w:autoSpaceDE w:val="0"/>
        <w:autoSpaceDN w:val="0"/>
        <w:adjustRightInd w:val="0"/>
        <w:spacing w:after="0" w:line="240" w:lineRule="auto"/>
        <w:ind w:left="720" w:hanging="720"/>
        <w:rPr>
          <w:rFonts w:ascii="Helvetica" w:hAnsi="Helvetica" w:cs="Helvetica"/>
          <w:color w:val="313131"/>
          <w:kern w:val="0"/>
          <w:sz w:val="32"/>
          <w:szCs w:val="32"/>
          <w:lang w:val="en-US"/>
        </w:rPr>
      </w:pPr>
    </w:p>
    <w:sectPr w:rsidR="00D4250C" w:rsidRPr="00E9681C">
      <w:pgSz w:w="11900" w:h="16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7220087">
    <w:abstractNumId w:val="0"/>
  </w:num>
  <w:num w:numId="2" w16cid:durableId="835195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6E38"/>
    <w:rsid w:val="00161B8C"/>
    <w:rsid w:val="003C0ED5"/>
    <w:rsid w:val="005B6E38"/>
    <w:rsid w:val="00D4250C"/>
    <w:rsid w:val="00E968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95EAB5"/>
  <w14:defaultImageDpi w14:val="0"/>
  <w15:docId w15:val="{C7DC2CFE-8AD0-42CD-AC5E-C3B65308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C0ED5"/>
    <w:rPr>
      <w:color w:val="0563C1"/>
      <w:u w:val="single"/>
    </w:rPr>
  </w:style>
  <w:style w:type="character" w:styleId="UnresolvedMention">
    <w:name w:val="Unresolved Mention"/>
    <w:uiPriority w:val="99"/>
    <w:semiHidden/>
    <w:unhideWhenUsed/>
    <w:rsid w:val="003C0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llbusiness.chron.com/metadata-word-documents-4618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223</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 (257795)</dc:creator>
  <cp:keywords/>
  <dc:description/>
  <cp:lastModifiedBy>Van Hien Le (257795)</cp:lastModifiedBy>
  <cp:revision>4</cp:revision>
  <dcterms:created xsi:type="dcterms:W3CDTF">2023-11-07T10:21:00Z</dcterms:created>
  <dcterms:modified xsi:type="dcterms:W3CDTF">2023-11-07T11:06:00Z</dcterms:modified>
</cp:coreProperties>
</file>