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9D84" w14:textId="1E926F32" w:rsidR="00AD333C" w:rsidRDefault="00AD33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Pr>
          <w:rFonts w:ascii="Helvetica" w:hAnsi="Helvetica" w:cs="Helvetica"/>
          <w:kern w:val="0"/>
          <w:sz w:val="24"/>
          <w:szCs w:val="24"/>
          <w:lang w:val="en-US"/>
        </w:rPr>
        <w:t xml:space="preserve">Link: </w:t>
      </w:r>
      <w:hyperlink r:id="rId5" w:history="1">
        <w:r w:rsidRPr="000176BE">
          <w:rPr>
            <w:rStyle w:val="Hyperlink"/>
            <w:rFonts w:ascii="Helvetica" w:hAnsi="Helvetica" w:cs="Helvetica"/>
            <w:kern w:val="0"/>
            <w:sz w:val="24"/>
            <w:szCs w:val="24"/>
            <w:lang w:val="en-US"/>
          </w:rPr>
          <w:t>https://study.gov.pl/</w:t>
        </w:r>
      </w:hyperlink>
    </w:p>
    <w:p w14:paraId="082AF381" w14:textId="77777777" w:rsidR="00AD333C" w:rsidRDefault="00AD33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01705DCC" w14:textId="77777777" w:rsidR="00AD333C" w:rsidRDefault="00AD33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74FC8E5F" w14:textId="1228E609" w:rsidR="00D1271B" w:rsidRPr="00AD333C"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AD333C">
        <w:rPr>
          <w:rFonts w:ascii="Helvetica" w:hAnsi="Helvetica" w:cs="Helvetica"/>
          <w:kern w:val="0"/>
          <w:sz w:val="24"/>
          <w:szCs w:val="24"/>
          <w:lang w:val="en-US"/>
        </w:rPr>
        <w:t>Studies</w:t>
      </w:r>
    </w:p>
    <w:p w14:paraId="17EEC90D" w14:textId="77777777" w:rsidR="00D1271B" w:rsidRPr="00AD333C" w:rsidRDefault="00D127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3EA3B8FC"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Here is the listed types of studies and their duration: </w:t>
      </w:r>
    </w:p>
    <w:p w14:paraId="29FC7D68" w14:textId="77777777" w:rsidR="00D1271B" w:rsidRPr="00AD333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Bachelor of Arts - 3 years (6 semesters) </w:t>
      </w:r>
    </w:p>
    <w:p w14:paraId="5663BACC" w14:textId="77777777" w:rsidR="00D1271B" w:rsidRPr="00AD333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Bachelor of Science - 3.5 years (7-8 semesters) </w:t>
      </w:r>
    </w:p>
    <w:p w14:paraId="4B0210E8" w14:textId="77777777" w:rsidR="00D1271B"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Master’s Degree - 1.5 - 2 years (3-4 semesters) </w:t>
      </w:r>
    </w:p>
    <w:p w14:paraId="294F643B" w14:textId="77777777" w:rsidR="00D1271B" w:rsidRPr="00AD333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 xml:space="preserve">Long cycle Master's Degree (for Medical </w:t>
      </w:r>
      <w:proofErr w:type="spellStart"/>
      <w:r w:rsidRPr="00AD333C">
        <w:rPr>
          <w:rFonts w:ascii="Helvetica" w:hAnsi="Helvetica" w:cs="Helvetica"/>
          <w:color w:val="383838"/>
          <w:kern w:val="0"/>
          <w:sz w:val="32"/>
          <w:szCs w:val="32"/>
          <w:lang w:val="en-US"/>
        </w:rPr>
        <w:t>Specialities</w:t>
      </w:r>
      <w:proofErr w:type="spellEnd"/>
      <w:r w:rsidRPr="00AD333C">
        <w:rPr>
          <w:rFonts w:ascii="Helvetica" w:hAnsi="Helvetica" w:cs="Helvetica"/>
          <w:color w:val="383838"/>
          <w:kern w:val="0"/>
          <w:sz w:val="32"/>
          <w:szCs w:val="32"/>
          <w:lang w:val="en-US"/>
        </w:rPr>
        <w:t>, Psychology and Law) lasts for 5-6 years (10-12 semesters) </w:t>
      </w:r>
    </w:p>
    <w:p w14:paraId="65C4FE01" w14:textId="77777777" w:rsidR="00D1271B"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Postgraduate studies - 1 - 1.5 years (1-2 semesters) </w:t>
      </w:r>
    </w:p>
    <w:p w14:paraId="51514CA5" w14:textId="77777777" w:rsidR="00D1271B"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rPr>
      </w:pPr>
    </w:p>
    <w:p w14:paraId="36F63F71" w14:textId="77777777" w:rsidR="00D1271B"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rPr>
      </w:pPr>
    </w:p>
    <w:p w14:paraId="1FECA24D"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There is a quite common non-degree </w:t>
      </w:r>
      <w:proofErr w:type="spellStart"/>
      <w:r w:rsidRPr="00AD333C">
        <w:rPr>
          <w:rFonts w:ascii="Helvetica" w:hAnsi="Helvetica" w:cs="Helvetica"/>
          <w:color w:val="383838"/>
          <w:kern w:val="0"/>
          <w:sz w:val="32"/>
          <w:szCs w:val="32"/>
          <w:lang w:val="en-US"/>
        </w:rPr>
        <w:t>programme</w:t>
      </w:r>
      <w:proofErr w:type="spellEnd"/>
      <w:r w:rsidRPr="00AD333C">
        <w:rPr>
          <w:rFonts w:ascii="Helvetica" w:hAnsi="Helvetica" w:cs="Helvetica"/>
          <w:color w:val="383838"/>
          <w:kern w:val="0"/>
          <w:sz w:val="32"/>
          <w:szCs w:val="32"/>
          <w:lang w:val="en-US"/>
        </w:rPr>
        <w:t> called “</w:t>
      </w:r>
      <w:proofErr w:type="spellStart"/>
      <w:r w:rsidRPr="00AD333C">
        <w:rPr>
          <w:rFonts w:ascii="Helvetica-Bold" w:hAnsi="Helvetica-Bold" w:cs="Helvetica-Bold"/>
          <w:b/>
          <w:bCs/>
          <w:color w:val="0E0E0E"/>
          <w:kern w:val="0"/>
          <w:sz w:val="32"/>
          <w:szCs w:val="32"/>
          <w:lang w:val="en-US"/>
        </w:rPr>
        <w:t>Zerówka</w:t>
      </w:r>
      <w:proofErr w:type="spellEnd"/>
      <w:r w:rsidRPr="00AD333C">
        <w:rPr>
          <w:rFonts w:ascii="Helvetica" w:hAnsi="Helvetica" w:cs="Helvetica"/>
          <w:color w:val="383838"/>
          <w:kern w:val="0"/>
          <w:sz w:val="32"/>
          <w:szCs w:val="32"/>
          <w:lang w:val="en-US"/>
        </w:rPr>
        <w:t>” - a 9-months preparatory course for future students. It includes classes of the Polish language and a couple of other subjects. After completing the course participants get a certificate confirming their level of Polish proficiency. Alternatively if one does want to improve their English language skills there is option to enroll for English preparatory school (also 9-months) with aim of entering degree program upon completion the course.</w:t>
      </w:r>
    </w:p>
    <w:p w14:paraId="541B2C0E" w14:textId="77777777" w:rsidR="00D1271B" w:rsidRPr="00AD333C" w:rsidRDefault="00D1271B">
      <w:pPr>
        <w:widowControl w:val="0"/>
        <w:autoSpaceDE w:val="0"/>
        <w:autoSpaceDN w:val="0"/>
        <w:adjustRightInd w:val="0"/>
        <w:spacing w:after="400" w:line="240" w:lineRule="auto"/>
        <w:rPr>
          <w:rFonts w:ascii="Helvetica" w:hAnsi="Helvetica" w:cs="Helvetica"/>
          <w:color w:val="383838"/>
          <w:kern w:val="0"/>
          <w:sz w:val="32"/>
          <w:szCs w:val="32"/>
          <w:lang w:val="en-US"/>
        </w:rPr>
      </w:pPr>
    </w:p>
    <w:p w14:paraId="3175E4E3" w14:textId="77777777" w:rsidR="00D1271B" w:rsidRPr="00AD333C" w:rsidRDefault="00000000">
      <w:pPr>
        <w:widowControl w:val="0"/>
        <w:autoSpaceDE w:val="0"/>
        <w:autoSpaceDN w:val="0"/>
        <w:adjustRightInd w:val="0"/>
        <w:spacing w:after="400" w:line="240" w:lineRule="auto"/>
        <w:rPr>
          <w:rFonts w:ascii="Helvetica-Bold" w:hAnsi="Helvetica-Bold" w:cs="Helvetica-Bold"/>
          <w:b/>
          <w:bCs/>
          <w:color w:val="0E0E0E"/>
          <w:kern w:val="0"/>
          <w:sz w:val="32"/>
          <w:szCs w:val="32"/>
          <w:lang w:val="en-US"/>
        </w:rPr>
      </w:pPr>
      <w:r w:rsidRPr="00AD333C">
        <w:rPr>
          <w:rFonts w:ascii="Helvetica-Bold" w:hAnsi="Helvetica-Bold" w:cs="Helvetica-Bold"/>
          <w:b/>
          <w:bCs/>
          <w:color w:val="0E0E0E"/>
          <w:kern w:val="0"/>
          <w:sz w:val="32"/>
          <w:szCs w:val="32"/>
          <w:lang w:val="en-US"/>
        </w:rPr>
        <w:t>As a foreigner, you have a right to apply for studies at any University and study in either Polish or English.</w:t>
      </w:r>
    </w:p>
    <w:p w14:paraId="12DA9D1A" w14:textId="77777777" w:rsidR="00D1271B" w:rsidRPr="00AD333C" w:rsidRDefault="00D1271B">
      <w:pPr>
        <w:widowControl w:val="0"/>
        <w:autoSpaceDE w:val="0"/>
        <w:autoSpaceDN w:val="0"/>
        <w:adjustRightInd w:val="0"/>
        <w:spacing w:after="400" w:line="240" w:lineRule="auto"/>
        <w:rPr>
          <w:rFonts w:ascii="Helvetica" w:hAnsi="Helvetica" w:cs="Helvetica"/>
          <w:color w:val="383838"/>
          <w:kern w:val="0"/>
          <w:sz w:val="32"/>
          <w:szCs w:val="32"/>
          <w:lang w:val="en-US"/>
        </w:rPr>
      </w:pPr>
    </w:p>
    <w:p w14:paraId="67C9B09B"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 xml:space="preserve">The cost of studying in Polish is on average about 2 000 - 2 500 EUR per year. Studies in English are a bit more expensive and cost about 3 000 EUR per year on average. You can apply for a variety of scholarships that could </w:t>
      </w:r>
      <w:r w:rsidRPr="00AD333C">
        <w:rPr>
          <w:rFonts w:ascii="Helvetica" w:hAnsi="Helvetica" w:cs="Helvetica"/>
          <w:color w:val="383838"/>
          <w:kern w:val="0"/>
          <w:sz w:val="32"/>
          <w:szCs w:val="32"/>
          <w:lang w:val="en-US"/>
        </w:rPr>
        <w:lastRenderedPageBreak/>
        <w:t>cover the tuition fee and/or costs of living in Poland.</w:t>
      </w:r>
    </w:p>
    <w:p w14:paraId="3F89130F"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If you are going to apply for the undergraduate </w:t>
      </w:r>
      <w:proofErr w:type="spellStart"/>
      <w:r w:rsidRPr="00AD333C">
        <w:rPr>
          <w:rFonts w:ascii="Helvetica" w:hAnsi="Helvetica" w:cs="Helvetica"/>
          <w:color w:val="383838"/>
          <w:kern w:val="0"/>
          <w:sz w:val="32"/>
          <w:szCs w:val="32"/>
          <w:lang w:val="en-US"/>
        </w:rPr>
        <w:t>programme</w:t>
      </w:r>
      <w:proofErr w:type="spellEnd"/>
      <w:r w:rsidRPr="00AD333C">
        <w:rPr>
          <w:rFonts w:ascii="Helvetica" w:hAnsi="Helvetica" w:cs="Helvetica"/>
          <w:color w:val="383838"/>
          <w:kern w:val="0"/>
          <w:sz w:val="32"/>
          <w:szCs w:val="32"/>
          <w:lang w:val="en-US"/>
        </w:rPr>
        <w:t>, usually you will need to prepare the following documents: </w:t>
      </w:r>
    </w:p>
    <w:p w14:paraId="08ACFDBF" w14:textId="77777777" w:rsidR="00D1271B"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Application Form </w:t>
      </w:r>
    </w:p>
    <w:p w14:paraId="6F8F2CF3" w14:textId="77777777" w:rsidR="00D1271B"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Digital copy of your photo </w:t>
      </w:r>
    </w:p>
    <w:p w14:paraId="62BC58B1" w14:textId="77777777" w:rsidR="00D1271B"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High school certificate </w:t>
      </w:r>
    </w:p>
    <w:p w14:paraId="6EA36639" w14:textId="77777777" w:rsidR="00D1271B" w:rsidRPr="00AD333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Translation of the above mentioned certificate if it is not in Polish or English </w:t>
      </w:r>
    </w:p>
    <w:p w14:paraId="0D959671" w14:textId="77777777" w:rsidR="00D1271B" w:rsidRPr="00AD333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 xml:space="preserve">A certificate confirming the level of language proficiency  </w:t>
      </w:r>
    </w:p>
    <w:p w14:paraId="3EB918BC" w14:textId="77777777" w:rsidR="00D1271B" w:rsidRPr="00AD333C"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lang w:val="en-US"/>
        </w:rPr>
      </w:pPr>
    </w:p>
    <w:p w14:paraId="5DF6BA2A" w14:textId="77777777" w:rsidR="00D1271B" w:rsidRPr="00AD333C" w:rsidRDefault="00000000">
      <w:pPr>
        <w:widowControl w:val="0"/>
        <w:autoSpaceDE w:val="0"/>
        <w:autoSpaceDN w:val="0"/>
        <w:adjustRightInd w:val="0"/>
        <w:spacing w:after="400" w:line="240" w:lineRule="auto"/>
        <w:rPr>
          <w:rFonts w:ascii="Helvetica-Bold" w:hAnsi="Helvetica-Bold" w:cs="Helvetica-Bold"/>
          <w:b/>
          <w:bCs/>
          <w:color w:val="0E0E0E"/>
          <w:kern w:val="0"/>
          <w:sz w:val="32"/>
          <w:szCs w:val="32"/>
          <w:lang w:val="en-US"/>
        </w:rPr>
      </w:pPr>
      <w:r w:rsidRPr="00AD333C">
        <w:rPr>
          <w:rFonts w:ascii="Helvetica-Bold" w:hAnsi="Helvetica-Bold" w:cs="Helvetica-Bold"/>
          <w:b/>
          <w:bCs/>
          <w:color w:val="0E0E0E"/>
          <w:kern w:val="0"/>
          <w:sz w:val="32"/>
          <w:szCs w:val="32"/>
          <w:lang w:val="en-US"/>
        </w:rPr>
        <w:t>Please keep in mind, that different higher educational institution may require a different set of documents. It is always best to contact the higher educational institution of your choice directly to find out all the details.</w:t>
      </w:r>
    </w:p>
    <w:p w14:paraId="5D50BD3D"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Poland is a member of the European Union, so EU/EEA students do not need a visa Meanwhile, non-EU/EEA students should read about it and start preparing the necessary documents and setting appointments as soon as possible. </w:t>
      </w:r>
    </w:p>
    <w:p w14:paraId="7D78C125"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After the university will accept your application, you will be issued with an admissions decision along with the Acceptance letter. Based on the last document, the Embassy will issue you a student visa for a period of time mentioned on it (but no longer, that one year). </w:t>
      </w:r>
    </w:p>
    <w:p w14:paraId="1C96AF8A" w14:textId="77777777" w:rsidR="00D1271B" w:rsidRPr="00AD333C" w:rsidRDefault="00000000">
      <w:pPr>
        <w:widowControl w:val="0"/>
        <w:autoSpaceDE w:val="0"/>
        <w:autoSpaceDN w:val="0"/>
        <w:adjustRightInd w:val="0"/>
        <w:spacing w:after="40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The academic year in Poland starts at the beginning of October.</w:t>
      </w:r>
    </w:p>
    <w:p w14:paraId="5BD907CA" w14:textId="77777777" w:rsidR="00D1271B" w:rsidRPr="00AD333C" w:rsidRDefault="00D1271B">
      <w:pPr>
        <w:widowControl w:val="0"/>
        <w:autoSpaceDE w:val="0"/>
        <w:autoSpaceDN w:val="0"/>
        <w:adjustRightInd w:val="0"/>
        <w:spacing w:after="400" w:line="240" w:lineRule="auto"/>
        <w:rPr>
          <w:rFonts w:ascii="Helvetica" w:hAnsi="Helvetica" w:cs="Helvetica"/>
          <w:color w:val="383838"/>
          <w:kern w:val="0"/>
          <w:sz w:val="32"/>
          <w:szCs w:val="32"/>
          <w:lang w:val="en-US"/>
        </w:rPr>
      </w:pPr>
    </w:p>
    <w:p w14:paraId="300CB53D"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Bold" w:hAnsi="Helvetica-Bold" w:cs="Helvetica-Bold"/>
          <w:b/>
          <w:bCs/>
          <w:color w:val="0E0E0E"/>
          <w:kern w:val="0"/>
          <w:sz w:val="32"/>
          <w:szCs w:val="32"/>
          <w:lang w:val="en-US"/>
        </w:rPr>
        <w:t>You can study on the same terms as Polish citizens, if you:</w:t>
      </w:r>
    </w:p>
    <w:p w14:paraId="7291AB5D"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have been granted a residence permit (to settle in Poland),</w:t>
      </w:r>
    </w:p>
    <w:p w14:paraId="5968168E"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hold refugee status granted by the Republic of Poland,</w:t>
      </w:r>
    </w:p>
    <w:p w14:paraId="09362486"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 xml:space="preserve">have been granted temporary protection on the territory of the </w:t>
      </w:r>
      <w:r w:rsidRPr="00AD333C">
        <w:rPr>
          <w:rFonts w:ascii="Helvetica" w:hAnsi="Helvetica" w:cs="Helvetica"/>
          <w:color w:val="383838"/>
          <w:kern w:val="0"/>
          <w:sz w:val="32"/>
          <w:szCs w:val="32"/>
          <w:lang w:val="en-US"/>
        </w:rPr>
        <w:lastRenderedPageBreak/>
        <w:t>Republic of Poland,</w:t>
      </w:r>
    </w:p>
    <w:p w14:paraId="7D23E179"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are a migrant worker, EU/EEA national or a member of an EU/EEA migrant worker family ,</w:t>
      </w:r>
    </w:p>
    <w:p w14:paraId="648DD305"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have been granted an EU long-term residents residence permit,</w:t>
      </w:r>
    </w:p>
    <w:p w14:paraId="2FE54E98" w14:textId="77777777" w:rsidR="00D1271B" w:rsidRPr="00AD333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are a EU/EEA citizen with the right of permanent residence.</w:t>
      </w:r>
    </w:p>
    <w:p w14:paraId="0B04E6A7" w14:textId="77777777" w:rsidR="00D1271B" w:rsidRPr="00AD333C"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lang w:val="en-US"/>
        </w:rPr>
      </w:pPr>
    </w:p>
    <w:p w14:paraId="56114871"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There are a number of State budget financial support forms available for students studying on terms applicable to Polish citizens.</w:t>
      </w:r>
    </w:p>
    <w:p w14:paraId="70150498" w14:textId="77777777" w:rsidR="00D1271B" w:rsidRPr="00AD333C" w:rsidRDefault="00D1271B">
      <w:pPr>
        <w:widowControl w:val="0"/>
        <w:autoSpaceDE w:val="0"/>
        <w:autoSpaceDN w:val="0"/>
        <w:adjustRightInd w:val="0"/>
        <w:spacing w:after="0" w:line="240" w:lineRule="auto"/>
        <w:rPr>
          <w:rFonts w:ascii="Helvetica-Bold" w:hAnsi="Helvetica-Bold" w:cs="Helvetica-Bold"/>
          <w:b/>
          <w:bCs/>
          <w:color w:val="0E0E0E"/>
          <w:kern w:val="0"/>
          <w:sz w:val="32"/>
          <w:szCs w:val="32"/>
          <w:lang w:val="en-US"/>
        </w:rPr>
      </w:pPr>
    </w:p>
    <w:p w14:paraId="715E2A7C" w14:textId="77777777" w:rsidR="00D1271B" w:rsidRDefault="00000000">
      <w:pPr>
        <w:widowControl w:val="0"/>
        <w:autoSpaceDE w:val="0"/>
        <w:autoSpaceDN w:val="0"/>
        <w:adjustRightInd w:val="0"/>
        <w:spacing w:after="0" w:line="240" w:lineRule="auto"/>
        <w:rPr>
          <w:rFonts w:ascii="Helvetica" w:hAnsi="Helvetica" w:cs="Helvetica"/>
          <w:color w:val="383838"/>
          <w:kern w:val="0"/>
          <w:sz w:val="32"/>
          <w:szCs w:val="32"/>
        </w:rPr>
      </w:pPr>
      <w:r>
        <w:rPr>
          <w:rFonts w:ascii="Helvetica-Bold" w:hAnsi="Helvetica-Bold" w:cs="Helvetica-Bold"/>
          <w:b/>
          <w:bCs/>
          <w:color w:val="0E0E0E"/>
          <w:kern w:val="0"/>
          <w:sz w:val="32"/>
          <w:szCs w:val="32"/>
        </w:rPr>
        <w:t>They include:</w:t>
      </w:r>
    </w:p>
    <w:p w14:paraId="4490CD35" w14:textId="77777777" w:rsidR="00D1271B"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maintenance grant,</w:t>
      </w:r>
    </w:p>
    <w:p w14:paraId="021D5555" w14:textId="77777777" w:rsidR="00D1271B" w:rsidRPr="00AD333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special grant for disabled persons,</w:t>
      </w:r>
    </w:p>
    <w:p w14:paraId="3A5F40A5" w14:textId="77777777" w:rsidR="00D1271B"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allowance,</w:t>
      </w:r>
    </w:p>
    <w:p w14:paraId="733FDE92" w14:textId="77777777" w:rsidR="00D1271B" w:rsidRPr="00AD333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scholarship for the outstanding students, awarded by a rector,</w:t>
      </w:r>
    </w:p>
    <w:p w14:paraId="744A75B5" w14:textId="77777777" w:rsidR="00D1271B" w:rsidRPr="00AD333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scholarship for academic or sport results financed by a natural person or a legal entity which is not a state or local government,</w:t>
      </w:r>
    </w:p>
    <w:p w14:paraId="67928588" w14:textId="77777777" w:rsidR="00D1271B" w:rsidRPr="00AD333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scholarship for academic achievements awarded by the minister,</w:t>
      </w:r>
    </w:p>
    <w:p w14:paraId="7B199815" w14:textId="77777777" w:rsidR="00D1271B" w:rsidRPr="00AD333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scholarship for outstanding sporting achievements awarded by the minister,</w:t>
      </w:r>
    </w:p>
    <w:p w14:paraId="1FEC4A21" w14:textId="77777777" w:rsidR="00D1271B"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rPr>
      </w:pPr>
      <w:r>
        <w:rPr>
          <w:rFonts w:ascii="Helvetica" w:hAnsi="Helvetica" w:cs="Helvetica"/>
          <w:color w:val="383838"/>
          <w:kern w:val="0"/>
          <w:sz w:val="32"/>
          <w:szCs w:val="32"/>
        </w:rPr>
        <w:t>assistance grants.</w:t>
      </w:r>
    </w:p>
    <w:p w14:paraId="46E48810" w14:textId="77777777" w:rsidR="00D1271B"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rPr>
      </w:pPr>
    </w:p>
    <w:p w14:paraId="4844B0DE"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Bold" w:hAnsi="Helvetica-Bold" w:cs="Helvetica-Bold"/>
          <w:b/>
          <w:bCs/>
          <w:color w:val="0E0E0E"/>
          <w:kern w:val="0"/>
          <w:sz w:val="32"/>
          <w:szCs w:val="32"/>
          <w:lang w:val="en-US"/>
        </w:rPr>
        <w:t>Studying on terms applicable to foreigners, you can:</w:t>
      </w:r>
    </w:p>
    <w:p w14:paraId="0E421370" w14:textId="77777777" w:rsidR="00D1271B" w:rsidRPr="00AD333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be awarded a scholarship by a Polish partner,</w:t>
      </w:r>
    </w:p>
    <w:p w14:paraId="17F05A8D" w14:textId="77777777" w:rsidR="00D1271B" w:rsidRPr="00AD333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study on a tuition fee-paying basis,</w:t>
      </w:r>
    </w:p>
    <w:p w14:paraId="7ACE82CD" w14:textId="77777777" w:rsidR="00D1271B" w:rsidRPr="00AD333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study free of tuition fees and with no scholarship entitlement,</w:t>
      </w:r>
    </w:p>
    <w:p w14:paraId="5F7CD96C" w14:textId="77777777" w:rsidR="00D1271B" w:rsidRPr="00AD333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be awarded a scholarship by the sending partner (for example your country or university), and free of tuition fees,</w:t>
      </w:r>
    </w:p>
    <w:p w14:paraId="53ADF440" w14:textId="77777777" w:rsidR="00D1271B" w:rsidRPr="00AD333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be awarded a scholarship by Polish higher education institutions.</w:t>
      </w:r>
    </w:p>
    <w:p w14:paraId="53802A4B" w14:textId="77777777" w:rsidR="00D1271B" w:rsidRPr="00AD333C"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lang w:val="en-US"/>
        </w:rPr>
      </w:pPr>
    </w:p>
    <w:p w14:paraId="76E3606D"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 xml:space="preserve">Students who do not fall under the rules applicable to Polish citizens are not obliged to compete with other students to enter studies, but have to pay fees as defined by higher education </w:t>
      </w:r>
      <w:r w:rsidRPr="00AD333C">
        <w:rPr>
          <w:rFonts w:ascii="Helvetica" w:hAnsi="Helvetica" w:cs="Helvetica"/>
          <w:color w:val="383838"/>
          <w:kern w:val="0"/>
          <w:sz w:val="32"/>
          <w:szCs w:val="32"/>
          <w:lang w:val="en-US"/>
        </w:rPr>
        <w:lastRenderedPageBreak/>
        <w:t>institutions.</w:t>
      </w:r>
    </w:p>
    <w:p w14:paraId="0BF725FE" w14:textId="77777777" w:rsidR="00D1271B" w:rsidRPr="00AD333C" w:rsidRDefault="00D1271B">
      <w:pPr>
        <w:widowControl w:val="0"/>
        <w:autoSpaceDE w:val="0"/>
        <w:autoSpaceDN w:val="0"/>
        <w:adjustRightInd w:val="0"/>
        <w:spacing w:after="0" w:line="240" w:lineRule="auto"/>
        <w:rPr>
          <w:rFonts w:ascii="Helvetica" w:hAnsi="Helvetica" w:cs="Helvetica"/>
          <w:color w:val="383838"/>
          <w:kern w:val="0"/>
          <w:sz w:val="32"/>
          <w:szCs w:val="32"/>
          <w:lang w:val="en-US"/>
        </w:rPr>
      </w:pPr>
    </w:p>
    <w:p w14:paraId="2379466F"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You can choose if you wish to study on the terms applicable to Polish citizen or those applicable to foreigners when:</w:t>
      </w:r>
    </w:p>
    <w:p w14:paraId="7E8FDCE6" w14:textId="77777777" w:rsidR="00D1271B" w:rsidRPr="00AD333C"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you are a holder of a valid Card of the Pole,</w:t>
      </w:r>
    </w:p>
    <w:p w14:paraId="701A55D1" w14:textId="77777777" w:rsidR="00D1271B" w:rsidRPr="00AD333C"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are an EU/EEA citizen and have enough funds to support yourself in Poland.</w:t>
      </w:r>
    </w:p>
    <w:p w14:paraId="3D5B3347" w14:textId="77777777" w:rsidR="00D1271B" w:rsidRPr="00AD333C" w:rsidRDefault="00D1271B">
      <w:pPr>
        <w:widowControl w:val="0"/>
        <w:tabs>
          <w:tab w:val="left" w:pos="566"/>
        </w:tabs>
        <w:autoSpaceDE w:val="0"/>
        <w:autoSpaceDN w:val="0"/>
        <w:adjustRightInd w:val="0"/>
        <w:spacing w:after="0" w:line="240" w:lineRule="auto"/>
        <w:rPr>
          <w:rFonts w:ascii="Helvetica" w:hAnsi="Helvetica" w:cs="Helvetica"/>
          <w:color w:val="383838"/>
          <w:kern w:val="0"/>
          <w:sz w:val="32"/>
          <w:szCs w:val="32"/>
          <w:lang w:val="en-US"/>
        </w:rPr>
      </w:pPr>
    </w:p>
    <w:p w14:paraId="6ECB0A79"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Bold" w:hAnsi="Helvetica-Bold" w:cs="Helvetica-Bold"/>
          <w:b/>
          <w:bCs/>
          <w:color w:val="0E0E0E"/>
          <w:kern w:val="0"/>
          <w:sz w:val="32"/>
          <w:szCs w:val="32"/>
          <w:lang w:val="en-US"/>
        </w:rPr>
        <w:t>Card of the Pole </w:t>
      </w:r>
      <w:r w:rsidRPr="00AD333C">
        <w:rPr>
          <w:rFonts w:ascii="Helvetica" w:hAnsi="Helvetica" w:cs="Helvetica"/>
          <w:color w:val="383838"/>
          <w:kern w:val="0"/>
          <w:sz w:val="32"/>
          <w:szCs w:val="32"/>
          <w:lang w:val="en-US"/>
        </w:rPr>
        <w:t xml:space="preserve">(Karta </w:t>
      </w:r>
      <w:proofErr w:type="spellStart"/>
      <w:r w:rsidRPr="00AD333C">
        <w:rPr>
          <w:rFonts w:ascii="Helvetica" w:hAnsi="Helvetica" w:cs="Helvetica"/>
          <w:color w:val="383838"/>
          <w:kern w:val="0"/>
          <w:sz w:val="32"/>
          <w:szCs w:val="32"/>
          <w:lang w:val="en-US"/>
        </w:rPr>
        <w:t>Polaka</w:t>
      </w:r>
      <w:proofErr w:type="spellEnd"/>
      <w:r w:rsidRPr="00AD333C">
        <w:rPr>
          <w:rFonts w:ascii="Helvetica" w:hAnsi="Helvetica" w:cs="Helvetica"/>
          <w:color w:val="383838"/>
          <w:kern w:val="0"/>
          <w:sz w:val="32"/>
          <w:szCs w:val="32"/>
          <w:lang w:val="en-US"/>
        </w:rPr>
        <w:t>) is a document stating that you belong to the Polish nation. It can be issued to people who do not have Polish citizenship and live in one of former Soviet Union states.</w:t>
      </w:r>
    </w:p>
    <w:p w14:paraId="7E5DC26F" w14:textId="77777777" w:rsidR="00D1271B" w:rsidRPr="00AD333C" w:rsidRDefault="00D1271B">
      <w:pPr>
        <w:widowControl w:val="0"/>
        <w:autoSpaceDE w:val="0"/>
        <w:autoSpaceDN w:val="0"/>
        <w:adjustRightInd w:val="0"/>
        <w:spacing w:after="0" w:line="240" w:lineRule="auto"/>
        <w:rPr>
          <w:rFonts w:ascii="Helvetica" w:hAnsi="Helvetica" w:cs="Helvetica"/>
          <w:color w:val="383838"/>
          <w:kern w:val="0"/>
          <w:sz w:val="32"/>
          <w:szCs w:val="32"/>
          <w:lang w:val="en-US"/>
        </w:rPr>
      </w:pPr>
    </w:p>
    <w:p w14:paraId="6DF90D8A"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Terms of studying:</w:t>
      </w:r>
    </w:p>
    <w:p w14:paraId="068952A9"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t>- as a Polish citizen</w:t>
      </w:r>
    </w:p>
    <w:p w14:paraId="5D34C3AE"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Advantages:</w:t>
      </w:r>
    </w:p>
    <w:p w14:paraId="4C43E372"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free education in public higher educational institution</w:t>
      </w:r>
    </w:p>
    <w:p w14:paraId="63796235"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access to state budget student financial support</w:t>
      </w:r>
    </w:p>
    <w:p w14:paraId="42B96445"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Disadvantages:</w:t>
      </w:r>
    </w:p>
    <w:p w14:paraId="5D487CD0"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you have to compete with Polish students for places at HEIs</w:t>
      </w:r>
    </w:p>
    <w:p w14:paraId="40E917EC"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t>- as a foreigner:</w:t>
      </w:r>
    </w:p>
    <w:p w14:paraId="494782D7"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Advantages:</w:t>
      </w:r>
    </w:p>
    <w:p w14:paraId="57733E3B"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easier admission to higher educational institution</w:t>
      </w:r>
    </w:p>
    <w:p w14:paraId="7B274C40"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one-year preparatory Polish language course</w:t>
      </w:r>
    </w:p>
    <w:p w14:paraId="2DA525E4"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a possibility of being awarded a scholarship</w:t>
      </w:r>
    </w:p>
    <w:p w14:paraId="33AB725F"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Disadvantages:</w:t>
      </w:r>
    </w:p>
    <w:p w14:paraId="534F787B"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study on a tuition fee-paying basis</w:t>
      </w:r>
    </w:p>
    <w:p w14:paraId="2ACDFBF3" w14:textId="77777777" w:rsidR="00D1271B" w:rsidRPr="00AD333C" w:rsidRDefault="00000000">
      <w:pPr>
        <w:widowControl w:val="0"/>
        <w:autoSpaceDE w:val="0"/>
        <w:autoSpaceDN w:val="0"/>
        <w:adjustRightInd w:val="0"/>
        <w:spacing w:after="0" w:line="240" w:lineRule="auto"/>
        <w:rPr>
          <w:rFonts w:ascii="Helvetica" w:hAnsi="Helvetica" w:cs="Helvetica"/>
          <w:color w:val="383838"/>
          <w:kern w:val="0"/>
          <w:sz w:val="32"/>
          <w:szCs w:val="32"/>
          <w:lang w:val="en-US"/>
        </w:rPr>
      </w:pP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r>
      <w:r w:rsidRPr="00AD333C">
        <w:rPr>
          <w:rFonts w:ascii="Helvetica" w:hAnsi="Helvetica" w:cs="Helvetica"/>
          <w:color w:val="383838"/>
          <w:kern w:val="0"/>
          <w:sz w:val="32"/>
          <w:szCs w:val="32"/>
          <w:lang w:val="en-US"/>
        </w:rPr>
        <w:tab/>
        <w:t>- no access to state budget student financial support</w:t>
      </w:r>
    </w:p>
    <w:p w14:paraId="3B475705" w14:textId="77777777" w:rsidR="00D1271B" w:rsidRPr="00AD333C" w:rsidRDefault="00D1271B">
      <w:pPr>
        <w:widowControl w:val="0"/>
        <w:autoSpaceDE w:val="0"/>
        <w:autoSpaceDN w:val="0"/>
        <w:adjustRightInd w:val="0"/>
        <w:spacing w:after="0" w:line="240" w:lineRule="auto"/>
        <w:rPr>
          <w:rFonts w:ascii="Helvetica" w:hAnsi="Helvetica" w:cs="Helvetica"/>
          <w:color w:val="383838"/>
          <w:kern w:val="0"/>
          <w:sz w:val="32"/>
          <w:szCs w:val="32"/>
          <w:lang w:val="en-US"/>
        </w:rPr>
      </w:pPr>
    </w:p>
    <w:p w14:paraId="3AE22811" w14:textId="77777777" w:rsidR="00D1271B" w:rsidRPr="00AD333C" w:rsidRDefault="00D1271B">
      <w:pPr>
        <w:widowControl w:val="0"/>
        <w:autoSpaceDE w:val="0"/>
        <w:autoSpaceDN w:val="0"/>
        <w:adjustRightInd w:val="0"/>
        <w:spacing w:after="0" w:line="240" w:lineRule="auto"/>
        <w:rPr>
          <w:rFonts w:ascii="Helvetica" w:hAnsi="Helvetica" w:cs="Helvetica"/>
          <w:color w:val="383838"/>
          <w:kern w:val="0"/>
          <w:sz w:val="32"/>
          <w:szCs w:val="32"/>
          <w:lang w:val="en-US"/>
        </w:rPr>
      </w:pPr>
    </w:p>
    <w:tbl>
      <w:tblPr>
        <w:tblW w:w="0" w:type="auto"/>
        <w:tblBorders>
          <w:top w:val="none" w:sz="6" w:space="0" w:color="auto"/>
          <w:left w:val="none" w:sz="6" w:space="0" w:color="auto"/>
          <w:right w:val="none" w:sz="6" w:space="0" w:color="auto"/>
        </w:tblBorders>
        <w:tblLayout w:type="fixed"/>
        <w:tblLook w:val="0000" w:firstRow="0" w:lastRow="0" w:firstColumn="0" w:lastColumn="0" w:noHBand="0" w:noVBand="0"/>
      </w:tblPr>
      <w:tblGrid>
        <w:gridCol w:w="7287"/>
      </w:tblGrid>
      <w:tr w:rsidR="00D1271B" w:rsidRPr="00AD333C" w14:paraId="45726F26" w14:textId="77777777">
        <w:tc>
          <w:tcPr>
            <w:tcW w:w="7287" w:type="dxa"/>
            <w:tcBorders>
              <w:top w:val="none" w:sz="6" w:space="0" w:color="auto"/>
              <w:bottom w:val="none" w:sz="6" w:space="0" w:color="auto"/>
            </w:tcBorders>
            <w:vAlign w:val="center"/>
          </w:tcPr>
          <w:p w14:paraId="1127F86F" w14:textId="77777777" w:rsidR="00D1271B" w:rsidRPr="00AD333C" w:rsidRDefault="00D1271B">
            <w:pPr>
              <w:widowControl w:val="0"/>
              <w:autoSpaceDE w:val="0"/>
              <w:autoSpaceDN w:val="0"/>
              <w:adjustRightInd w:val="0"/>
              <w:spacing w:after="400" w:line="240" w:lineRule="auto"/>
              <w:rPr>
                <w:rFonts w:ascii="Helvetica" w:hAnsi="Helvetica" w:cs="Helvetica"/>
                <w:color w:val="383838"/>
                <w:kern w:val="0"/>
                <w:sz w:val="32"/>
                <w:szCs w:val="32"/>
                <w:lang w:val="en-US"/>
              </w:rPr>
            </w:pPr>
          </w:p>
        </w:tc>
      </w:tr>
    </w:tbl>
    <w:p w14:paraId="521EE0D1" w14:textId="77777777" w:rsidR="005E50F3" w:rsidRPr="00AD333C" w:rsidRDefault="005E50F3">
      <w:pPr>
        <w:rPr>
          <w:lang w:val="en-US"/>
        </w:rPr>
      </w:pPr>
    </w:p>
    <w:sectPr w:rsidR="005E50F3" w:rsidRPr="00AD333C">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7427579">
    <w:abstractNumId w:val="0"/>
  </w:num>
  <w:num w:numId="2" w16cid:durableId="961155975">
    <w:abstractNumId w:val="1"/>
  </w:num>
  <w:num w:numId="3" w16cid:durableId="1627004518">
    <w:abstractNumId w:val="2"/>
  </w:num>
  <w:num w:numId="4" w16cid:durableId="1800878152">
    <w:abstractNumId w:val="3"/>
  </w:num>
  <w:num w:numId="5" w16cid:durableId="1333871063">
    <w:abstractNumId w:val="4"/>
  </w:num>
  <w:num w:numId="6" w16cid:durableId="480274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5963"/>
    <w:rsid w:val="00125963"/>
    <w:rsid w:val="005E50F3"/>
    <w:rsid w:val="00AD333C"/>
    <w:rsid w:val="00D127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862C40"/>
  <w14:defaultImageDpi w14:val="0"/>
  <w15:docId w15:val="{6092A190-8661-4F85-86FB-16B76DC3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D333C"/>
    <w:rPr>
      <w:color w:val="0563C1"/>
      <w:u w:val="single"/>
    </w:rPr>
  </w:style>
  <w:style w:type="character" w:styleId="UnresolvedMention">
    <w:name w:val="Unresolved Mention"/>
    <w:uiPriority w:val="99"/>
    <w:semiHidden/>
    <w:unhideWhenUsed/>
    <w:rsid w:val="00AD3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y.gov.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725</Words>
  <Characters>4353</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 (257795)</cp:lastModifiedBy>
  <cp:revision>3</cp:revision>
  <dcterms:created xsi:type="dcterms:W3CDTF">2023-11-07T16:53:00Z</dcterms:created>
  <dcterms:modified xsi:type="dcterms:W3CDTF">2023-11-07T16:58:00Z</dcterms:modified>
</cp:coreProperties>
</file>