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2020-12-13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numId w:val="1003"/>
          <w:ilvl w:val="0"/>
        </w:numPr>
      </w:pPr>
      <w:hyperlink r:id="rId28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numId w:val="1003"/>
          <w:ilvl w:val="0"/>
        </w:numPr>
      </w:pPr>
      <w:hyperlink r:id="rId28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numId w:val="1003"/>
          <w:ilvl w:val="0"/>
        </w:numPr>
      </w:pPr>
      <w:hyperlink r:id="rId28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numId w:val="1003"/>
          <w:ilvl w:val="0"/>
        </w:numPr>
      </w:pPr>
      <w:hyperlink r:id="rId285">
        <w:r>
          <w:rPr>
            <w:rStyle w:val="Hyperlink"/>
          </w:rPr>
          <w:t xml:space="preserve">Hands-On Data Visualization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5" Target="https://handsondataviz.org/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5" Target="https://handsondataviz.org/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2020-12-13T17:59:49Z</dcterms:created>
  <dcterms:modified xsi:type="dcterms:W3CDTF">2020-12-13T17:59:49Z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