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38148" w14:textId="77777777" w:rsidR="00BF7813" w:rsidRPr="00F43C58" w:rsidRDefault="005C010F" w:rsidP="00A01C25">
      <w:pPr>
        <w:jc w:val="center"/>
        <w:rPr>
          <w:sz w:val="28"/>
          <w:lang w:val="lv-LV"/>
        </w:rPr>
      </w:pPr>
      <w:bookmarkStart w:id="0" w:name="_GoBack"/>
      <w:bookmarkEnd w:id="0"/>
      <w:r w:rsidRPr="00F43C58">
        <w:rPr>
          <w:noProof/>
          <w:lang w:val="lv-LV" w:eastAsia="lv-LV"/>
        </w:rPr>
        <w:drawing>
          <wp:inline distT="0" distB="0" distL="0" distR="0" wp14:anchorId="45942034" wp14:editId="5EA44C4C">
            <wp:extent cx="2260121" cy="791255"/>
            <wp:effectExtent l="0" t="0" r="6985" b="8890"/>
            <wp:docPr id="2" name="Picture 2" descr="Description: \\ffs2\FMO$\Work in progress FMO TEAM FOLDERS\CRE-team\Communication\2014-2021\New visual identity\New EEA and Norway Grants logos\EEA and Norway Grants logo package\Active_citizens_fund\PNG\Active-citizens-f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ffs2\FMO$\Work in progress FMO TEAM FOLDERS\CRE-team\Communication\2014-2021\New visual identity\New EEA and Norway Grants logos\EEA and Norway Grants logo package\Active_citizens_fund\PNG\Active-citizens-fu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8139" cy="790561"/>
                    </a:xfrm>
                    <a:prstGeom prst="rect">
                      <a:avLst/>
                    </a:prstGeom>
                    <a:noFill/>
                    <a:ln>
                      <a:noFill/>
                    </a:ln>
                  </pic:spPr>
                </pic:pic>
              </a:graphicData>
            </a:graphic>
          </wp:inline>
        </w:drawing>
      </w:r>
    </w:p>
    <w:p w14:paraId="63B16B0D" w14:textId="77777777" w:rsidR="001E790E" w:rsidRPr="00F43C58" w:rsidRDefault="001E790E" w:rsidP="001E790E">
      <w:pPr>
        <w:spacing w:after="0"/>
        <w:jc w:val="center"/>
        <w:rPr>
          <w:b/>
          <w:color w:val="808080" w:themeColor="background1" w:themeShade="80"/>
          <w:sz w:val="26"/>
          <w:szCs w:val="26"/>
          <w:lang w:val="lv-LV"/>
        </w:rPr>
      </w:pPr>
      <w:r w:rsidRPr="00F43C58">
        <w:rPr>
          <w:b/>
          <w:sz w:val="26"/>
          <w:szCs w:val="26"/>
          <w:lang w:val="lv-LV"/>
        </w:rPr>
        <w:t xml:space="preserve">DISKUSIJU DOKUMENTS </w:t>
      </w:r>
      <w:r>
        <w:rPr>
          <w:b/>
          <w:sz w:val="26"/>
          <w:szCs w:val="26"/>
          <w:lang w:val="lv-LV"/>
        </w:rPr>
        <w:t>IESAISTĪTO</w:t>
      </w:r>
      <w:r w:rsidRPr="00F43C58">
        <w:rPr>
          <w:b/>
          <w:sz w:val="26"/>
          <w:szCs w:val="26"/>
          <w:lang w:val="lv-LV"/>
        </w:rPr>
        <w:t xml:space="preserve"> PUŠU KONSULTĀCIJĀM</w:t>
      </w:r>
      <w:r>
        <w:rPr>
          <w:b/>
          <w:sz w:val="26"/>
          <w:szCs w:val="26"/>
          <w:lang w:val="lv-LV"/>
        </w:rPr>
        <w:br/>
      </w:r>
      <w:r>
        <w:rPr>
          <w:b/>
          <w:color w:val="808080" w:themeColor="background1" w:themeShade="80"/>
          <w:sz w:val="26"/>
          <w:szCs w:val="26"/>
          <w:lang w:val="lv-LV"/>
        </w:rPr>
        <w:t>par Aktīvo iedzīvotāju fondu Latvijā</w:t>
      </w:r>
    </w:p>
    <w:p w14:paraId="5B1EFD52" w14:textId="2864C125" w:rsidR="001317AF" w:rsidRPr="00F43C58" w:rsidRDefault="001E790E" w:rsidP="001E790E">
      <w:pPr>
        <w:spacing w:after="0"/>
        <w:jc w:val="center"/>
        <w:rPr>
          <w:b/>
          <w:color w:val="808080" w:themeColor="background1" w:themeShade="80"/>
          <w:sz w:val="26"/>
          <w:szCs w:val="26"/>
          <w:lang w:val="lv-LV"/>
        </w:rPr>
      </w:pPr>
      <w:r>
        <w:rPr>
          <w:b/>
          <w:color w:val="808080" w:themeColor="background1" w:themeShade="80"/>
          <w:sz w:val="26"/>
          <w:szCs w:val="26"/>
          <w:lang w:val="lv-LV"/>
        </w:rPr>
        <w:t>EEZ un Norvēģijas grantu periodā 2014-2021</w:t>
      </w:r>
    </w:p>
    <w:p w14:paraId="4EE92A00" w14:textId="77777777" w:rsidR="00EB29BC" w:rsidRPr="00F43C58" w:rsidRDefault="001317AF" w:rsidP="000D6E64">
      <w:pPr>
        <w:pStyle w:val="Heading1"/>
      </w:pPr>
      <w:r w:rsidRPr="00F43C58">
        <w:t xml:space="preserve">eez </w:t>
      </w:r>
      <w:r w:rsidR="00265F2B" w:rsidRPr="00F43C58">
        <w:t>un UN NORVĒĢIJAS grant</w:t>
      </w:r>
      <w:r w:rsidR="00A00E53" w:rsidRPr="00F43C58">
        <w:t>I</w:t>
      </w:r>
      <w:r w:rsidR="00265F2B" w:rsidRPr="00F43C58">
        <w:t xml:space="preserve"> pilsoniskajai sabiedrībai</w:t>
      </w:r>
    </w:p>
    <w:p w14:paraId="61FD1B76" w14:textId="5EABADBE" w:rsidR="0033536B" w:rsidRPr="00F43C58" w:rsidRDefault="00D063C7" w:rsidP="0023107E">
      <w:pPr>
        <w:spacing w:after="120" w:line="240" w:lineRule="auto"/>
        <w:jc w:val="both"/>
        <w:rPr>
          <w:color w:val="000000"/>
          <w:lang w:val="lv-LV"/>
        </w:rPr>
      </w:pPr>
      <w:r w:rsidRPr="00F43C58">
        <w:rPr>
          <w:color w:val="000000"/>
          <w:lang w:val="lv-LV"/>
        </w:rPr>
        <w:t xml:space="preserve">Atbalstīt pilsonisko sabiedrību ir </w:t>
      </w:r>
      <w:r w:rsidR="00AF7766">
        <w:rPr>
          <w:color w:val="000000"/>
          <w:lang w:val="lv-LV"/>
        </w:rPr>
        <w:t>nozīmīga</w:t>
      </w:r>
      <w:r w:rsidR="00A00E53" w:rsidRPr="00F43C58">
        <w:rPr>
          <w:color w:val="000000"/>
          <w:lang w:val="lv-LV"/>
        </w:rPr>
        <w:t xml:space="preserve"> prioritāte </w:t>
      </w:r>
      <w:r w:rsidRPr="00F43C58">
        <w:rPr>
          <w:color w:val="000000"/>
          <w:lang w:val="lv-LV"/>
        </w:rPr>
        <w:t xml:space="preserve">Islandes, Lihtenšteinas un Norvēģijas </w:t>
      </w:r>
      <w:r w:rsidR="003B3315" w:rsidRPr="00F43C58">
        <w:rPr>
          <w:color w:val="000000"/>
          <w:lang w:val="lv-LV"/>
        </w:rPr>
        <w:t>(turpmāk – donor</w:t>
      </w:r>
      <w:r w:rsidR="00E8775B">
        <w:rPr>
          <w:color w:val="000000"/>
          <w:lang w:val="lv-LV"/>
        </w:rPr>
        <w:t>valstis</w:t>
      </w:r>
      <w:r w:rsidR="003B3315" w:rsidRPr="00F43C58">
        <w:rPr>
          <w:color w:val="000000"/>
          <w:lang w:val="lv-LV"/>
        </w:rPr>
        <w:t>)</w:t>
      </w:r>
      <w:r w:rsidR="00A00E53" w:rsidRPr="00F43C58">
        <w:rPr>
          <w:color w:val="000000"/>
          <w:lang w:val="lv-LV"/>
        </w:rPr>
        <w:t xml:space="preserve"> </w:t>
      </w:r>
      <w:r w:rsidRPr="00F43C58">
        <w:rPr>
          <w:color w:val="000000"/>
          <w:lang w:val="lv-LV"/>
        </w:rPr>
        <w:t>finansēt</w:t>
      </w:r>
      <w:r w:rsidR="00A00E53" w:rsidRPr="00F43C58">
        <w:rPr>
          <w:color w:val="000000"/>
          <w:lang w:val="lv-LV"/>
        </w:rPr>
        <w:t>ajos</w:t>
      </w:r>
      <w:r w:rsidRPr="00F43C58">
        <w:rPr>
          <w:color w:val="000000"/>
          <w:lang w:val="lv-LV"/>
        </w:rPr>
        <w:t xml:space="preserve"> </w:t>
      </w:r>
      <w:r w:rsidRPr="00F43C58">
        <w:rPr>
          <w:b/>
          <w:color w:val="000000"/>
          <w:lang w:val="lv-LV"/>
        </w:rPr>
        <w:t xml:space="preserve">EEZ un Norvēģijas </w:t>
      </w:r>
      <w:r w:rsidR="00A00E53" w:rsidRPr="00F43C58">
        <w:rPr>
          <w:b/>
          <w:color w:val="000000"/>
          <w:lang w:val="lv-LV"/>
        </w:rPr>
        <w:t>grantos</w:t>
      </w:r>
      <w:r w:rsidRPr="00F43C58">
        <w:rPr>
          <w:b/>
          <w:color w:val="000000"/>
          <w:lang w:val="lv-LV"/>
        </w:rPr>
        <w:t xml:space="preserve"> 2014-2021</w:t>
      </w:r>
      <w:r w:rsidRPr="00F43C58">
        <w:rPr>
          <w:rStyle w:val="FootnoteReference"/>
          <w:b/>
          <w:color w:val="000000"/>
          <w:lang w:val="lv-LV"/>
        </w:rPr>
        <w:footnoteReference w:id="1"/>
      </w:r>
      <w:r w:rsidRPr="00F43C58">
        <w:rPr>
          <w:color w:val="000000"/>
          <w:lang w:val="lv-LV"/>
        </w:rPr>
        <w:t>, kas tiek pieš</w:t>
      </w:r>
      <w:r w:rsidR="004E1410" w:rsidRPr="00F43C58">
        <w:rPr>
          <w:color w:val="000000"/>
          <w:lang w:val="lv-LV"/>
        </w:rPr>
        <w:t>ķirti</w:t>
      </w:r>
      <w:r w:rsidRPr="00F43C58">
        <w:rPr>
          <w:color w:val="000000"/>
          <w:lang w:val="lv-LV"/>
        </w:rPr>
        <w:t xml:space="preserve"> 15 Eiropas Savienības dalībvalstīs - Centrāleiropā, Dienvideiropā un Baltijas valstīs</w:t>
      </w:r>
      <w:r w:rsidR="003B3315" w:rsidRPr="00F43C58">
        <w:rPr>
          <w:color w:val="000000"/>
          <w:lang w:val="lv-LV"/>
        </w:rPr>
        <w:t xml:space="preserve"> (turpmāk – saņēmējvalstis)</w:t>
      </w:r>
      <w:r w:rsidRPr="00F43C58">
        <w:rPr>
          <w:color w:val="000000"/>
          <w:lang w:val="lv-LV"/>
        </w:rPr>
        <w:t>.</w:t>
      </w:r>
      <w:r w:rsidR="004E1410" w:rsidRPr="00F43C58">
        <w:rPr>
          <w:color w:val="000000"/>
          <w:lang w:val="lv-LV"/>
        </w:rPr>
        <w:t xml:space="preserve"> No </w:t>
      </w:r>
      <w:r w:rsidR="00A00E53" w:rsidRPr="00F43C58">
        <w:rPr>
          <w:color w:val="000000"/>
          <w:lang w:val="lv-LV"/>
        </w:rPr>
        <w:t xml:space="preserve">kopējās </w:t>
      </w:r>
      <w:r w:rsidR="00DE600E" w:rsidRPr="00F43C58">
        <w:rPr>
          <w:color w:val="000000"/>
          <w:lang w:val="lv-LV"/>
        </w:rPr>
        <w:t>saņēmējvalstīm paredzētā</w:t>
      </w:r>
      <w:r w:rsidR="005163FE" w:rsidRPr="00F43C58">
        <w:rPr>
          <w:color w:val="000000"/>
          <w:lang w:val="lv-LV"/>
        </w:rPr>
        <w:t>s</w:t>
      </w:r>
      <w:r w:rsidR="00DE600E" w:rsidRPr="00F43C58">
        <w:rPr>
          <w:color w:val="000000"/>
          <w:lang w:val="lv-LV"/>
        </w:rPr>
        <w:t xml:space="preserve"> EEZ grant</w:t>
      </w:r>
      <w:r w:rsidR="0023107E" w:rsidRPr="00F43C58">
        <w:rPr>
          <w:color w:val="000000"/>
          <w:lang w:val="lv-LV"/>
        </w:rPr>
        <w:t>u summas</w:t>
      </w:r>
      <w:r w:rsidR="00DE600E" w:rsidRPr="00F43C58">
        <w:rPr>
          <w:color w:val="000000"/>
          <w:lang w:val="lv-LV"/>
        </w:rPr>
        <w:t xml:space="preserve"> </w:t>
      </w:r>
      <w:r w:rsidR="004E1410" w:rsidRPr="00F43C58">
        <w:rPr>
          <w:color w:val="000000"/>
          <w:lang w:val="lv-LV"/>
        </w:rPr>
        <w:t>v</w:t>
      </w:r>
      <w:r w:rsidR="00DE600E" w:rsidRPr="00F43C58">
        <w:rPr>
          <w:color w:val="000000"/>
          <w:lang w:val="lv-LV"/>
        </w:rPr>
        <w:t>ismaz desmit procenti</w:t>
      </w:r>
      <w:r w:rsidR="004E1410" w:rsidRPr="00F43C58">
        <w:rPr>
          <w:color w:val="000000"/>
          <w:lang w:val="lv-LV"/>
        </w:rPr>
        <w:t xml:space="preserve"> </w:t>
      </w:r>
      <w:r w:rsidRPr="00F43C58">
        <w:rPr>
          <w:color w:val="000000"/>
          <w:lang w:val="lv-LV"/>
        </w:rPr>
        <w:t>ir paredzēt</w:t>
      </w:r>
      <w:r w:rsidR="00DE600E" w:rsidRPr="00F43C58">
        <w:rPr>
          <w:color w:val="000000"/>
          <w:lang w:val="lv-LV"/>
        </w:rPr>
        <w:t>i</w:t>
      </w:r>
      <w:r w:rsidRPr="00F43C58">
        <w:rPr>
          <w:color w:val="000000"/>
          <w:lang w:val="lv-LV"/>
        </w:rPr>
        <w:t xml:space="preserve"> </w:t>
      </w:r>
      <w:r w:rsidRPr="00F43C58">
        <w:rPr>
          <w:b/>
          <w:color w:val="000000"/>
          <w:lang w:val="lv-LV"/>
        </w:rPr>
        <w:t xml:space="preserve">pilsoniskās sabiedrības programmas </w:t>
      </w:r>
      <w:r w:rsidRPr="00F43C58">
        <w:rPr>
          <w:color w:val="000000"/>
          <w:lang w:val="lv-LV"/>
        </w:rPr>
        <w:t>īsteno</w:t>
      </w:r>
      <w:r w:rsidR="004E1410" w:rsidRPr="00F43C58">
        <w:rPr>
          <w:color w:val="000000"/>
          <w:lang w:val="lv-LV"/>
        </w:rPr>
        <w:t>šanai katrā saņēmējvalstī</w:t>
      </w:r>
      <w:r w:rsidRPr="00F43C58">
        <w:rPr>
          <w:b/>
          <w:color w:val="000000"/>
          <w:lang w:val="lv-LV"/>
        </w:rPr>
        <w:t>.</w:t>
      </w:r>
      <w:r w:rsidR="00DE600E" w:rsidRPr="00F43C58">
        <w:rPr>
          <w:b/>
          <w:color w:val="000000"/>
          <w:lang w:val="lv-LV"/>
        </w:rPr>
        <w:t xml:space="preserve"> </w:t>
      </w:r>
      <w:r w:rsidR="00A00E53" w:rsidRPr="00F43C58">
        <w:rPr>
          <w:color w:val="000000"/>
          <w:lang w:val="lv-LV"/>
        </w:rPr>
        <w:t>Donori un Eiropas Savienība ir vienojušies par piecām priorit</w:t>
      </w:r>
      <w:r w:rsidR="003B4078" w:rsidRPr="00F43C58">
        <w:rPr>
          <w:color w:val="000000"/>
          <w:lang w:val="lv-LV"/>
        </w:rPr>
        <w:t>ārajām jomām</w:t>
      </w:r>
      <w:r w:rsidR="00A00E53" w:rsidRPr="00F43C58">
        <w:rPr>
          <w:color w:val="000000"/>
          <w:lang w:val="lv-LV"/>
        </w:rPr>
        <w:t xml:space="preserve">, kas tiek stiprinātas EEZ grantu ietvaros un </w:t>
      </w:r>
      <w:r w:rsidR="00A00E53" w:rsidRPr="00F43C58">
        <w:rPr>
          <w:b/>
          <w:color w:val="000000"/>
          <w:lang w:val="lv-LV"/>
        </w:rPr>
        <w:t>Aktīvo iedzīvotāju fonds</w:t>
      </w:r>
      <w:r w:rsidR="005C0B77" w:rsidRPr="00F43C58">
        <w:rPr>
          <w:b/>
          <w:color w:val="000000"/>
          <w:lang w:val="lv-LV"/>
        </w:rPr>
        <w:t xml:space="preserve"> </w:t>
      </w:r>
      <w:r w:rsidR="005C0B77" w:rsidRPr="00F43C58">
        <w:rPr>
          <w:color w:val="000000"/>
          <w:lang w:val="lv-LV"/>
        </w:rPr>
        <w:t>(turpmāk – Fonds)</w:t>
      </w:r>
      <w:r w:rsidR="00A00E53" w:rsidRPr="00F43C58">
        <w:rPr>
          <w:b/>
          <w:color w:val="000000"/>
          <w:lang w:val="lv-LV"/>
        </w:rPr>
        <w:t xml:space="preserve"> </w:t>
      </w:r>
      <w:r w:rsidR="00A00E53" w:rsidRPr="00F43C58">
        <w:rPr>
          <w:color w:val="000000"/>
          <w:lang w:val="lv-LV"/>
        </w:rPr>
        <w:t xml:space="preserve">ietilpst </w:t>
      </w:r>
      <w:r w:rsidR="003B4078" w:rsidRPr="00F43C58">
        <w:rPr>
          <w:color w:val="000000"/>
          <w:lang w:val="lv-LV"/>
        </w:rPr>
        <w:t>prioritārajā jomā</w:t>
      </w:r>
      <w:r w:rsidR="00A00E53" w:rsidRPr="00F43C58">
        <w:rPr>
          <w:b/>
          <w:color w:val="000000"/>
          <w:lang w:val="lv-LV"/>
        </w:rPr>
        <w:t xml:space="preserve"> </w:t>
      </w:r>
      <w:r w:rsidR="00A00E53" w:rsidRPr="00F43C58">
        <w:rPr>
          <w:color w:val="000000"/>
          <w:lang w:val="lv-LV"/>
        </w:rPr>
        <w:t xml:space="preserve">“Kultūra, pilsoniskā sabiedrība, laba pārvaldība un pamattiesības un brīvības”. </w:t>
      </w:r>
      <w:r w:rsidR="005C0B77" w:rsidRPr="00F43C58">
        <w:rPr>
          <w:color w:val="000000"/>
          <w:lang w:val="lv-LV"/>
        </w:rPr>
        <w:t>Fondam</w:t>
      </w:r>
      <w:r w:rsidR="0023107E" w:rsidRPr="00F43C58">
        <w:rPr>
          <w:color w:val="000000"/>
          <w:lang w:val="lv-LV"/>
        </w:rPr>
        <w:t xml:space="preserve"> </w:t>
      </w:r>
      <w:r w:rsidR="0033536B" w:rsidRPr="00F43C58">
        <w:rPr>
          <w:b/>
          <w:color w:val="000000"/>
          <w:lang w:val="lv-LV"/>
        </w:rPr>
        <w:t>ir jāveicina</w:t>
      </w:r>
      <w:r w:rsidR="0033536B" w:rsidRPr="00F43C58">
        <w:rPr>
          <w:color w:val="000000"/>
          <w:lang w:val="lv-LV"/>
        </w:rPr>
        <w:t xml:space="preserve"> </w:t>
      </w:r>
      <w:r w:rsidR="0033536B" w:rsidRPr="00F43C58">
        <w:rPr>
          <w:b/>
          <w:color w:val="000000"/>
          <w:lang w:val="lv-LV"/>
        </w:rPr>
        <w:t xml:space="preserve">EEZ un Norvēģijas </w:t>
      </w:r>
      <w:r w:rsidR="0023107E" w:rsidRPr="00F43C58">
        <w:rPr>
          <w:b/>
          <w:color w:val="000000"/>
          <w:lang w:val="lv-LV"/>
        </w:rPr>
        <w:t>grantu</w:t>
      </w:r>
      <w:r w:rsidR="0033536B" w:rsidRPr="00F43C58">
        <w:rPr>
          <w:b/>
          <w:color w:val="000000"/>
          <w:lang w:val="lv-LV"/>
        </w:rPr>
        <w:t xml:space="preserve"> vispārējo mērķu sasnieg</w:t>
      </w:r>
      <w:r w:rsidR="00A00E53" w:rsidRPr="00F43C58">
        <w:rPr>
          <w:b/>
          <w:color w:val="000000"/>
          <w:lang w:val="lv-LV"/>
        </w:rPr>
        <w:t>šana</w:t>
      </w:r>
      <w:r w:rsidR="0023107E" w:rsidRPr="00F43C58">
        <w:rPr>
          <w:b/>
          <w:color w:val="000000"/>
          <w:lang w:val="lv-LV"/>
        </w:rPr>
        <w:t>, tādējādi</w:t>
      </w:r>
      <w:r w:rsidR="00163C5A" w:rsidRPr="00F43C58">
        <w:rPr>
          <w:b/>
          <w:color w:val="000000"/>
          <w:lang w:val="lv-LV"/>
        </w:rPr>
        <w:t xml:space="preserve"> </w:t>
      </w:r>
      <w:r w:rsidR="0033536B" w:rsidRPr="00F43C58">
        <w:rPr>
          <w:b/>
          <w:color w:val="000000"/>
          <w:lang w:val="lv-LV"/>
        </w:rPr>
        <w:t>mazin</w:t>
      </w:r>
      <w:r w:rsidR="0023107E" w:rsidRPr="00F43C58">
        <w:rPr>
          <w:b/>
          <w:color w:val="000000"/>
          <w:lang w:val="lv-LV"/>
        </w:rPr>
        <w:t>ot</w:t>
      </w:r>
      <w:r w:rsidR="0033536B" w:rsidRPr="00F43C58">
        <w:rPr>
          <w:b/>
          <w:color w:val="000000"/>
          <w:lang w:val="lv-LV"/>
        </w:rPr>
        <w:t xml:space="preserve"> ekonomiskās</w:t>
      </w:r>
      <w:r w:rsidR="0023107E" w:rsidRPr="00F43C58">
        <w:rPr>
          <w:b/>
          <w:color w:val="000000"/>
          <w:lang w:val="lv-LV"/>
        </w:rPr>
        <w:t xml:space="preserve"> un sociālās</w:t>
      </w:r>
      <w:r w:rsidR="00A00E53" w:rsidRPr="00F43C58">
        <w:rPr>
          <w:b/>
          <w:color w:val="000000"/>
          <w:lang w:val="lv-LV"/>
        </w:rPr>
        <w:t xml:space="preserve"> atšķirības un stiprino</w:t>
      </w:r>
      <w:r w:rsidR="0033536B" w:rsidRPr="00F43C58">
        <w:rPr>
          <w:b/>
          <w:color w:val="000000"/>
          <w:lang w:val="lv-LV"/>
        </w:rPr>
        <w:t>t divpusējo sadarbību starp saņēmējvalstīm un donorvalstīm</w:t>
      </w:r>
      <w:r w:rsidR="0033536B" w:rsidRPr="00F43C58">
        <w:rPr>
          <w:color w:val="000000"/>
          <w:lang w:val="lv-LV"/>
        </w:rPr>
        <w:t>.</w:t>
      </w:r>
    </w:p>
    <w:p w14:paraId="4613796D" w14:textId="604054F1" w:rsidR="005163FE" w:rsidRPr="00F43C58" w:rsidRDefault="005C0B77" w:rsidP="003B4078">
      <w:pPr>
        <w:spacing w:after="120" w:line="240" w:lineRule="auto"/>
        <w:jc w:val="both"/>
        <w:rPr>
          <w:color w:val="000000"/>
          <w:lang w:val="lv-LV"/>
        </w:rPr>
      </w:pPr>
      <w:r w:rsidRPr="00F43C58">
        <w:rPr>
          <w:color w:val="000000"/>
          <w:lang w:val="lv-LV"/>
        </w:rPr>
        <w:t>Aktīvo iedzīvotāju fonda</w:t>
      </w:r>
      <w:r w:rsidR="005163FE" w:rsidRPr="00F43C58">
        <w:rPr>
          <w:color w:val="000000"/>
          <w:lang w:val="lv-LV"/>
        </w:rPr>
        <w:t xml:space="preserve"> </w:t>
      </w:r>
      <w:r w:rsidR="005163FE" w:rsidRPr="00F43C58">
        <w:rPr>
          <w:b/>
          <w:color w:val="000000"/>
          <w:lang w:val="lv-LV"/>
        </w:rPr>
        <w:t>mērķis</w:t>
      </w:r>
      <w:r w:rsidR="005163FE" w:rsidRPr="00F43C58">
        <w:rPr>
          <w:color w:val="000000"/>
          <w:lang w:val="lv-LV"/>
        </w:rPr>
        <w:t xml:space="preserve"> ir: “</w:t>
      </w:r>
      <w:r w:rsidR="00A00E53" w:rsidRPr="00F43C58">
        <w:rPr>
          <w:color w:val="000000"/>
          <w:lang w:val="lv-LV"/>
        </w:rPr>
        <w:t>P</w:t>
      </w:r>
      <w:r w:rsidR="005163FE" w:rsidRPr="00F43C58">
        <w:rPr>
          <w:color w:val="000000"/>
          <w:lang w:val="lv-LV"/>
        </w:rPr>
        <w:t>ilsonisk</w:t>
      </w:r>
      <w:r w:rsidR="002B3F84" w:rsidRPr="00F43C58">
        <w:rPr>
          <w:color w:val="000000"/>
          <w:lang w:val="lv-LV"/>
        </w:rPr>
        <w:t>ās sabiedrības</w:t>
      </w:r>
      <w:r w:rsidR="005163FE" w:rsidRPr="00F43C58">
        <w:rPr>
          <w:color w:val="000000"/>
          <w:lang w:val="lv-LV"/>
        </w:rPr>
        <w:t xml:space="preserve"> un </w:t>
      </w:r>
      <w:r w:rsidR="002B64A4" w:rsidRPr="00F43C58">
        <w:rPr>
          <w:color w:val="000000"/>
          <w:lang w:val="lv-LV"/>
        </w:rPr>
        <w:t>aktīvas iedzīvotāju līdzdalības</w:t>
      </w:r>
      <w:r w:rsidR="002B3F84" w:rsidRPr="00F43C58">
        <w:rPr>
          <w:color w:val="000000"/>
          <w:lang w:val="lv-LV"/>
        </w:rPr>
        <w:t xml:space="preserve"> stiprināšana</w:t>
      </w:r>
      <w:r w:rsidR="005163FE" w:rsidRPr="00F43C58">
        <w:rPr>
          <w:color w:val="000000"/>
          <w:lang w:val="lv-LV"/>
        </w:rPr>
        <w:t xml:space="preserve"> </w:t>
      </w:r>
      <w:r w:rsidR="002B3F84" w:rsidRPr="00F43C58">
        <w:rPr>
          <w:color w:val="000000"/>
          <w:lang w:val="lv-LV"/>
        </w:rPr>
        <w:t xml:space="preserve">un </w:t>
      </w:r>
      <w:r w:rsidR="005163FE" w:rsidRPr="00F43C58">
        <w:rPr>
          <w:color w:val="000000"/>
          <w:lang w:val="lv-LV"/>
        </w:rPr>
        <w:t>mazaizsargātāk</w:t>
      </w:r>
      <w:r w:rsidR="002B3F84" w:rsidRPr="00F43C58">
        <w:rPr>
          <w:color w:val="000000"/>
          <w:lang w:val="lv-LV"/>
        </w:rPr>
        <w:t xml:space="preserve">o </w:t>
      </w:r>
      <w:r w:rsidR="00FA035B" w:rsidRPr="00F43C58">
        <w:rPr>
          <w:color w:val="000000"/>
          <w:lang w:val="lv-LV"/>
        </w:rPr>
        <w:t xml:space="preserve">iedzīvotāju </w:t>
      </w:r>
      <w:r w:rsidR="002B3F84" w:rsidRPr="00F43C58">
        <w:rPr>
          <w:color w:val="000000"/>
          <w:lang w:val="lv-LV"/>
        </w:rPr>
        <w:t xml:space="preserve">grupu </w:t>
      </w:r>
      <w:r w:rsidR="00FA035B" w:rsidRPr="00AF7766">
        <w:rPr>
          <w:color w:val="000000"/>
          <w:lang w:val="lv-LV"/>
        </w:rPr>
        <w:t>ies</w:t>
      </w:r>
      <w:r w:rsidR="00AF7766">
        <w:rPr>
          <w:color w:val="000000"/>
          <w:lang w:val="lv-LV"/>
        </w:rPr>
        <w:t>pējo</w:t>
      </w:r>
      <w:r w:rsidR="00FA035B" w:rsidRPr="00F43C58">
        <w:rPr>
          <w:color w:val="000000"/>
          <w:lang w:val="lv-LV"/>
        </w:rPr>
        <w:t>šana</w:t>
      </w:r>
      <w:r w:rsidR="0005657C" w:rsidRPr="00F43C58">
        <w:rPr>
          <w:color w:val="000000"/>
          <w:lang w:val="lv-LV"/>
        </w:rPr>
        <w:t>”. Fonda atbalstītajām aktivitātēm ir</w:t>
      </w:r>
      <w:r w:rsidR="00DA5ABE" w:rsidRPr="00F43C58">
        <w:rPr>
          <w:color w:val="000000"/>
          <w:lang w:val="lv-LV"/>
        </w:rPr>
        <w:t xml:space="preserve"> </w:t>
      </w:r>
      <w:r w:rsidR="005357EF" w:rsidRPr="00F43C58">
        <w:rPr>
          <w:color w:val="000000"/>
          <w:lang w:val="lv-LV"/>
        </w:rPr>
        <w:t xml:space="preserve">jāveicina </w:t>
      </w:r>
      <w:r w:rsidR="005163FE" w:rsidRPr="00F43C58">
        <w:rPr>
          <w:b/>
          <w:color w:val="000000"/>
          <w:lang w:val="lv-LV"/>
        </w:rPr>
        <w:t xml:space="preserve">pilsoniskās sabiedrības </w:t>
      </w:r>
      <w:r w:rsidR="00DA5ABE" w:rsidRPr="00F43C58">
        <w:rPr>
          <w:b/>
          <w:color w:val="000000"/>
          <w:lang w:val="lv-LV"/>
        </w:rPr>
        <w:t xml:space="preserve">sektora </w:t>
      </w:r>
      <w:r w:rsidR="00FA035B" w:rsidRPr="00F43C58">
        <w:rPr>
          <w:b/>
          <w:color w:val="000000"/>
          <w:lang w:val="lv-LV"/>
        </w:rPr>
        <w:t xml:space="preserve">ilgtermiņa </w:t>
      </w:r>
      <w:r w:rsidR="003B4078" w:rsidRPr="00F43C58">
        <w:rPr>
          <w:b/>
          <w:color w:val="000000"/>
          <w:lang w:val="lv-LV"/>
        </w:rPr>
        <w:t>ilg</w:t>
      </w:r>
      <w:r w:rsidR="005163FE" w:rsidRPr="00F43C58">
        <w:rPr>
          <w:b/>
          <w:color w:val="000000"/>
          <w:lang w:val="lv-LV"/>
        </w:rPr>
        <w:t>t</w:t>
      </w:r>
      <w:r w:rsidR="003B4078" w:rsidRPr="00F43C58">
        <w:rPr>
          <w:b/>
          <w:color w:val="000000"/>
          <w:lang w:val="lv-LV"/>
        </w:rPr>
        <w:t>s</w:t>
      </w:r>
      <w:r w:rsidR="005163FE" w:rsidRPr="00F43C58">
        <w:rPr>
          <w:b/>
          <w:color w:val="000000"/>
          <w:lang w:val="lv-LV"/>
        </w:rPr>
        <w:t>pēj</w:t>
      </w:r>
      <w:r w:rsidR="00DA5ABE" w:rsidRPr="00F43C58">
        <w:rPr>
          <w:b/>
          <w:color w:val="000000"/>
          <w:lang w:val="lv-LV"/>
        </w:rPr>
        <w:t>a</w:t>
      </w:r>
      <w:r w:rsidR="005357EF" w:rsidRPr="00F43C58">
        <w:rPr>
          <w:b/>
          <w:color w:val="000000"/>
          <w:lang w:val="lv-LV"/>
        </w:rPr>
        <w:t>s</w:t>
      </w:r>
      <w:r w:rsidR="005163FE" w:rsidRPr="00F43C58">
        <w:rPr>
          <w:b/>
          <w:color w:val="000000"/>
          <w:lang w:val="lv-LV"/>
        </w:rPr>
        <w:t xml:space="preserve"> un kapacitāt</w:t>
      </w:r>
      <w:r w:rsidR="00DA5ABE" w:rsidRPr="00F43C58">
        <w:rPr>
          <w:b/>
          <w:color w:val="000000"/>
          <w:lang w:val="lv-LV"/>
        </w:rPr>
        <w:t>e</w:t>
      </w:r>
      <w:r w:rsidR="005357EF" w:rsidRPr="00F43C58">
        <w:rPr>
          <w:b/>
          <w:color w:val="000000"/>
          <w:lang w:val="lv-LV"/>
        </w:rPr>
        <w:t>s attīstība</w:t>
      </w:r>
      <w:r w:rsidR="005357EF" w:rsidRPr="00F43C58">
        <w:rPr>
          <w:color w:val="000000"/>
          <w:lang w:val="lv-LV"/>
        </w:rPr>
        <w:t>, stiprinot sektora</w:t>
      </w:r>
      <w:r w:rsidR="005163FE" w:rsidRPr="00F43C58">
        <w:rPr>
          <w:color w:val="000000"/>
          <w:lang w:val="lv-LV"/>
        </w:rPr>
        <w:t xml:space="preserve"> lomu </w:t>
      </w:r>
      <w:r w:rsidR="005357EF" w:rsidRPr="00F43C58">
        <w:rPr>
          <w:b/>
          <w:color w:val="000000"/>
          <w:lang w:val="lv-LV"/>
        </w:rPr>
        <w:t>demokrātiskā</w:t>
      </w:r>
      <w:r w:rsidR="005163FE" w:rsidRPr="00F43C58">
        <w:rPr>
          <w:b/>
          <w:color w:val="000000"/>
          <w:lang w:val="lv-LV"/>
        </w:rPr>
        <w:t>s līdzdalības, aktīvas pilsoniskās sabiedr</w:t>
      </w:r>
      <w:r w:rsidR="00FA035B" w:rsidRPr="00F43C58">
        <w:rPr>
          <w:b/>
          <w:color w:val="000000"/>
          <w:lang w:val="lv-LV"/>
        </w:rPr>
        <w:t>ī</w:t>
      </w:r>
      <w:r w:rsidR="005163FE" w:rsidRPr="00F43C58">
        <w:rPr>
          <w:b/>
          <w:color w:val="000000"/>
          <w:lang w:val="lv-LV"/>
        </w:rPr>
        <w:t>bas un cilvēktiesību</w:t>
      </w:r>
      <w:r w:rsidR="005357EF" w:rsidRPr="00F43C58">
        <w:rPr>
          <w:b/>
          <w:color w:val="000000"/>
          <w:lang w:val="lv-LV"/>
        </w:rPr>
        <w:t xml:space="preserve"> nodrošināšanas/ievērošanas  </w:t>
      </w:r>
      <w:r w:rsidR="005163FE" w:rsidRPr="00F43C58">
        <w:rPr>
          <w:b/>
          <w:color w:val="000000"/>
          <w:lang w:val="lv-LV"/>
        </w:rPr>
        <w:t xml:space="preserve"> veicināšanā</w:t>
      </w:r>
      <w:r w:rsidR="005163FE" w:rsidRPr="00F43C58">
        <w:rPr>
          <w:color w:val="000000"/>
          <w:lang w:val="lv-LV"/>
        </w:rPr>
        <w:t xml:space="preserve">.  </w:t>
      </w:r>
      <w:r w:rsidR="005357EF" w:rsidRPr="00F43C58">
        <w:rPr>
          <w:color w:val="000000"/>
          <w:lang w:val="lv-LV"/>
        </w:rPr>
        <w:t xml:space="preserve">Fonds var atbalstīt </w:t>
      </w:r>
      <w:r w:rsidR="00076458" w:rsidRPr="00F43C58">
        <w:rPr>
          <w:color w:val="000000"/>
          <w:lang w:val="lv-LV"/>
        </w:rPr>
        <w:t xml:space="preserve">aktivitātes </w:t>
      </w:r>
      <w:r w:rsidR="005357EF" w:rsidRPr="00F43C58">
        <w:rPr>
          <w:color w:val="000000"/>
          <w:lang w:val="lv-LV"/>
        </w:rPr>
        <w:t>š</w:t>
      </w:r>
      <w:r w:rsidR="00076458" w:rsidRPr="00F43C58">
        <w:rPr>
          <w:color w:val="000000"/>
          <w:lang w:val="lv-LV"/>
        </w:rPr>
        <w:t>ādā</w:t>
      </w:r>
      <w:r w:rsidR="005357EF" w:rsidRPr="00F43C58">
        <w:rPr>
          <w:color w:val="000000"/>
          <w:lang w:val="lv-LV"/>
        </w:rPr>
        <w:t xml:space="preserve">s </w:t>
      </w:r>
      <w:r w:rsidR="003B4078" w:rsidRPr="00F43C58">
        <w:rPr>
          <w:color w:val="000000"/>
          <w:lang w:val="lv-LV"/>
        </w:rPr>
        <w:t>jomā</w:t>
      </w:r>
      <w:r w:rsidR="005357EF" w:rsidRPr="00F43C58">
        <w:rPr>
          <w:color w:val="000000"/>
          <w:lang w:val="lv-LV"/>
        </w:rPr>
        <w:t>s:</w:t>
      </w:r>
    </w:p>
    <w:p w14:paraId="7426123A" w14:textId="77777777" w:rsidR="00CA5F92" w:rsidRPr="00F43C58" w:rsidRDefault="00CA5F92" w:rsidP="00F260B1">
      <w:pPr>
        <w:numPr>
          <w:ilvl w:val="0"/>
          <w:numId w:val="17"/>
        </w:numPr>
        <w:spacing w:after="0" w:line="240" w:lineRule="auto"/>
        <w:jc w:val="both"/>
        <w:rPr>
          <w:color w:val="000000"/>
          <w:lang w:val="lv-LV"/>
        </w:rPr>
      </w:pPr>
      <w:r w:rsidRPr="00F43C58">
        <w:rPr>
          <w:color w:val="000000"/>
          <w:lang w:val="lv-LV"/>
        </w:rPr>
        <w:t>Demokrātija, aktīva</w:t>
      </w:r>
      <w:r w:rsidR="00174625" w:rsidRPr="00F43C58">
        <w:rPr>
          <w:color w:val="000000"/>
          <w:lang w:val="lv-LV"/>
        </w:rPr>
        <w:t xml:space="preserve"> pilsoniskā sabiedrība</w:t>
      </w:r>
      <w:r w:rsidRPr="00F43C58">
        <w:rPr>
          <w:color w:val="000000"/>
          <w:lang w:val="lv-LV"/>
        </w:rPr>
        <w:t xml:space="preserve">, laba pārvaldība un </w:t>
      </w:r>
      <w:r w:rsidR="0067710F" w:rsidRPr="00F43C58">
        <w:rPr>
          <w:color w:val="000000"/>
          <w:lang w:val="lv-LV"/>
        </w:rPr>
        <w:t>atkl</w:t>
      </w:r>
      <w:r w:rsidR="00163C5A" w:rsidRPr="00F43C58">
        <w:rPr>
          <w:color w:val="000000"/>
          <w:lang w:val="lv-LV"/>
        </w:rPr>
        <w:t>ātība</w:t>
      </w:r>
      <w:r w:rsidR="00076458" w:rsidRPr="00F43C58">
        <w:rPr>
          <w:color w:val="000000"/>
          <w:lang w:val="lv-LV"/>
        </w:rPr>
        <w:t>;</w:t>
      </w:r>
    </w:p>
    <w:p w14:paraId="73962DC8" w14:textId="77777777" w:rsidR="00CA5F92" w:rsidRPr="00F43C58" w:rsidRDefault="00CA5F92" w:rsidP="00F260B1">
      <w:pPr>
        <w:numPr>
          <w:ilvl w:val="0"/>
          <w:numId w:val="17"/>
        </w:numPr>
        <w:spacing w:after="0" w:line="240" w:lineRule="auto"/>
        <w:jc w:val="both"/>
        <w:rPr>
          <w:color w:val="000000"/>
          <w:lang w:val="lv-LV"/>
        </w:rPr>
      </w:pPr>
      <w:r w:rsidRPr="00F43C58">
        <w:rPr>
          <w:color w:val="000000"/>
          <w:lang w:val="lv-LV"/>
        </w:rPr>
        <w:t xml:space="preserve">Cilvēktiesības un vienlīdzīga attieksme, </w:t>
      </w:r>
      <w:r w:rsidR="00CC5F23" w:rsidRPr="00F43C58">
        <w:rPr>
          <w:color w:val="000000"/>
          <w:lang w:val="lv-LV"/>
        </w:rPr>
        <w:t>cīnoties pret</w:t>
      </w:r>
      <w:r w:rsidRPr="00F43C58">
        <w:rPr>
          <w:color w:val="000000"/>
          <w:lang w:val="lv-LV"/>
        </w:rPr>
        <w:t xml:space="preserve"> jebkādu diskrimināciju rases vai et</w:t>
      </w:r>
      <w:r w:rsidR="00076458" w:rsidRPr="00F43C58">
        <w:rPr>
          <w:color w:val="000000"/>
          <w:lang w:val="lv-LV"/>
        </w:rPr>
        <w:t>niskās izcelsmes, reliģijas vai ticības</w:t>
      </w:r>
      <w:r w:rsidRPr="00F43C58">
        <w:rPr>
          <w:color w:val="000000"/>
          <w:lang w:val="lv-LV"/>
        </w:rPr>
        <w:t>, dzimuma, invaliditātes, vecuma, sek</w:t>
      </w:r>
      <w:r w:rsidR="00076458" w:rsidRPr="00F43C58">
        <w:rPr>
          <w:color w:val="000000"/>
          <w:lang w:val="lv-LV"/>
        </w:rPr>
        <w:t xml:space="preserve">suālās orientācijas vai dzimuma </w:t>
      </w:r>
      <w:r w:rsidR="0067710F" w:rsidRPr="00F43C58">
        <w:rPr>
          <w:color w:val="000000"/>
          <w:lang w:val="lv-LV"/>
        </w:rPr>
        <w:t xml:space="preserve">identitātes </w:t>
      </w:r>
      <w:r w:rsidR="00076458" w:rsidRPr="00F43C58">
        <w:rPr>
          <w:color w:val="000000"/>
          <w:lang w:val="lv-LV"/>
        </w:rPr>
        <w:t>dēļ;</w:t>
      </w:r>
    </w:p>
    <w:p w14:paraId="63675574" w14:textId="77777777" w:rsidR="00CA5F92" w:rsidRPr="00F43C58" w:rsidRDefault="00CA5F92" w:rsidP="00F260B1">
      <w:pPr>
        <w:numPr>
          <w:ilvl w:val="0"/>
          <w:numId w:val="17"/>
        </w:numPr>
        <w:spacing w:after="0" w:line="240" w:lineRule="auto"/>
        <w:jc w:val="both"/>
        <w:rPr>
          <w:color w:val="000000"/>
          <w:lang w:val="lv-LV"/>
        </w:rPr>
      </w:pPr>
      <w:r w:rsidRPr="00F43C58">
        <w:rPr>
          <w:color w:val="000000"/>
          <w:lang w:val="lv-LV"/>
        </w:rPr>
        <w:t>Sociālais taisnīgums un mazaizsargāto grupu iekļaušana</w:t>
      </w:r>
      <w:r w:rsidR="00076458" w:rsidRPr="00F43C58">
        <w:rPr>
          <w:color w:val="000000"/>
          <w:lang w:val="lv-LV"/>
        </w:rPr>
        <w:t>;</w:t>
      </w:r>
    </w:p>
    <w:p w14:paraId="0E463077" w14:textId="77777777" w:rsidR="00163C5A" w:rsidRPr="00F43C58" w:rsidRDefault="00CA5F92" w:rsidP="00F260B1">
      <w:pPr>
        <w:numPr>
          <w:ilvl w:val="0"/>
          <w:numId w:val="17"/>
        </w:numPr>
        <w:spacing w:after="0" w:line="240" w:lineRule="auto"/>
        <w:jc w:val="both"/>
        <w:rPr>
          <w:color w:val="000000"/>
          <w:lang w:val="lv-LV"/>
        </w:rPr>
      </w:pPr>
      <w:r w:rsidRPr="00F43C58">
        <w:rPr>
          <w:color w:val="000000"/>
          <w:lang w:val="lv-LV"/>
        </w:rPr>
        <w:t xml:space="preserve">Dzimumu līdztiesība un </w:t>
      </w:r>
      <w:r w:rsidR="00163C5A" w:rsidRPr="00F43C58">
        <w:rPr>
          <w:color w:val="000000"/>
          <w:lang w:val="lv-LV"/>
        </w:rPr>
        <w:t xml:space="preserve"> uz dzimumu balstītas vardarbības mazināšana</w:t>
      </w:r>
      <w:r w:rsidR="003B4078" w:rsidRPr="00F43C58">
        <w:rPr>
          <w:color w:val="000000"/>
          <w:lang w:val="lv-LV"/>
        </w:rPr>
        <w:t>;</w:t>
      </w:r>
      <w:r w:rsidR="00163C5A" w:rsidRPr="00F43C58">
        <w:rPr>
          <w:color w:val="000000"/>
          <w:lang w:val="lv-LV"/>
        </w:rPr>
        <w:t xml:space="preserve"> </w:t>
      </w:r>
    </w:p>
    <w:p w14:paraId="35BDF93B" w14:textId="77777777" w:rsidR="005357EF" w:rsidRPr="00F43C58" w:rsidRDefault="00CA5F92" w:rsidP="00F260B1">
      <w:pPr>
        <w:numPr>
          <w:ilvl w:val="0"/>
          <w:numId w:val="17"/>
        </w:numPr>
        <w:spacing w:after="120" w:line="240" w:lineRule="auto"/>
        <w:jc w:val="both"/>
        <w:rPr>
          <w:color w:val="000000"/>
          <w:lang w:val="lv-LV"/>
        </w:rPr>
      </w:pPr>
      <w:r w:rsidRPr="00F43C58">
        <w:rPr>
          <w:color w:val="000000"/>
          <w:lang w:val="lv-LV"/>
        </w:rPr>
        <w:t xml:space="preserve">Vide un klimata </w:t>
      </w:r>
      <w:r w:rsidR="00163C5A" w:rsidRPr="00F43C58">
        <w:rPr>
          <w:color w:val="000000"/>
          <w:lang w:val="lv-LV"/>
        </w:rPr>
        <w:t>pārmaiņas</w:t>
      </w:r>
      <w:r w:rsidR="00076458" w:rsidRPr="00F43C58">
        <w:rPr>
          <w:color w:val="000000"/>
          <w:lang w:val="lv-LV"/>
        </w:rPr>
        <w:t>.</w:t>
      </w:r>
    </w:p>
    <w:p w14:paraId="540F2885" w14:textId="77777777" w:rsidR="006D1124" w:rsidRPr="00F43C58" w:rsidRDefault="00871FF0" w:rsidP="000D6E64">
      <w:pPr>
        <w:pStyle w:val="Heading1"/>
      </w:pPr>
      <w:r w:rsidRPr="00F43C58">
        <w:t xml:space="preserve">Aktīvo IEDZĪVOTĀJU FONDS LATVIJĀ </w:t>
      </w:r>
    </w:p>
    <w:p w14:paraId="64925938" w14:textId="664CD8A2" w:rsidR="00871FF0" w:rsidRPr="00F43C58" w:rsidRDefault="00871FF0" w:rsidP="005C2E64">
      <w:pPr>
        <w:jc w:val="both"/>
        <w:rPr>
          <w:b/>
          <w:lang w:val="lv-LV"/>
        </w:rPr>
      </w:pPr>
      <w:r w:rsidRPr="00F43C58">
        <w:rPr>
          <w:lang w:val="lv-LV"/>
        </w:rPr>
        <w:t xml:space="preserve">Aktīvo iedzīvotāju fondam Latvijā </w:t>
      </w:r>
      <w:r w:rsidR="00E8775B">
        <w:rPr>
          <w:lang w:val="lv-LV"/>
        </w:rPr>
        <w:t>donorvalstu</w:t>
      </w:r>
      <w:r w:rsidR="005C0B77" w:rsidRPr="00F43C58">
        <w:rPr>
          <w:lang w:val="lv-LV"/>
        </w:rPr>
        <w:t xml:space="preserve"> </w:t>
      </w:r>
      <w:r w:rsidRPr="00F43C58">
        <w:rPr>
          <w:lang w:val="lv-LV"/>
        </w:rPr>
        <w:t xml:space="preserve">piešķirtais finansējums ir 8 500 000 EUR. </w:t>
      </w:r>
      <w:r w:rsidR="005C0B77" w:rsidRPr="00F43C58">
        <w:rPr>
          <w:b/>
          <w:lang w:val="lv-LV"/>
        </w:rPr>
        <w:t>FIB</w:t>
      </w:r>
      <w:r w:rsidR="005C0B77" w:rsidRPr="00F43C58">
        <w:rPr>
          <w:rStyle w:val="FootnoteReference"/>
          <w:b/>
          <w:lang w:val="lv-LV"/>
        </w:rPr>
        <w:footnoteReference w:id="2"/>
      </w:r>
      <w:r w:rsidR="005C0B77" w:rsidRPr="00F43C58">
        <w:rPr>
          <w:b/>
          <w:lang w:val="lv-LV"/>
        </w:rPr>
        <w:t xml:space="preserve"> par Fonda operatoru Latvijā atklātā konkursa procedūrā izvēlējies NVO konsorciju, kuru veido 6 organizācijas – biedrība „Latvijas Pilsoniskā alianse”</w:t>
      </w:r>
      <w:r w:rsidRPr="00F43C58">
        <w:rPr>
          <w:b/>
          <w:lang w:val="lv-LV"/>
        </w:rPr>
        <w:t>,</w:t>
      </w:r>
      <w:r w:rsidR="005C0B77" w:rsidRPr="00F43C58">
        <w:rPr>
          <w:b/>
          <w:lang w:val="lv-LV"/>
        </w:rPr>
        <w:t xml:space="preserve"> biedrība „</w:t>
      </w:r>
      <w:r w:rsidRPr="00F43C58">
        <w:rPr>
          <w:b/>
          <w:lang w:val="lv-LV"/>
        </w:rPr>
        <w:t>Latvijas Lauku forum</w:t>
      </w:r>
      <w:r w:rsidR="005C0B77" w:rsidRPr="00F43C58">
        <w:rPr>
          <w:b/>
          <w:lang w:val="lv-LV"/>
        </w:rPr>
        <w:t>s”</w:t>
      </w:r>
      <w:r w:rsidRPr="00F43C58">
        <w:rPr>
          <w:b/>
          <w:lang w:val="lv-LV"/>
        </w:rPr>
        <w:t>,</w:t>
      </w:r>
      <w:r w:rsidR="005C0B77" w:rsidRPr="00F43C58">
        <w:rPr>
          <w:b/>
          <w:lang w:val="lv-LV"/>
        </w:rPr>
        <w:t xml:space="preserve"> biedrība „</w:t>
      </w:r>
      <w:r w:rsidRPr="00F43C58">
        <w:rPr>
          <w:b/>
          <w:lang w:val="lv-LV"/>
        </w:rPr>
        <w:t>Die</w:t>
      </w:r>
      <w:r w:rsidR="005C0B77" w:rsidRPr="00F43C58">
        <w:rPr>
          <w:b/>
          <w:lang w:val="lv-LV"/>
        </w:rPr>
        <w:t>nvidlatgales NVO atbalsta centrs”</w:t>
      </w:r>
      <w:r w:rsidRPr="00F43C58">
        <w:rPr>
          <w:b/>
          <w:lang w:val="lv-LV"/>
        </w:rPr>
        <w:t>,</w:t>
      </w:r>
      <w:r w:rsidR="005C0B77" w:rsidRPr="00F43C58">
        <w:rPr>
          <w:b/>
          <w:lang w:val="lv-LV"/>
        </w:rPr>
        <w:t xml:space="preserve"> biedrība „</w:t>
      </w:r>
      <w:r w:rsidRPr="00F43C58">
        <w:rPr>
          <w:b/>
          <w:lang w:val="lv-LV"/>
        </w:rPr>
        <w:t xml:space="preserve">Kurzemes NVO </w:t>
      </w:r>
      <w:r w:rsidR="005C0B77" w:rsidRPr="00F43C58">
        <w:rPr>
          <w:b/>
          <w:lang w:val="lv-LV"/>
        </w:rPr>
        <w:t>centrs”</w:t>
      </w:r>
      <w:r w:rsidRPr="00F43C58">
        <w:rPr>
          <w:b/>
          <w:lang w:val="lv-LV"/>
        </w:rPr>
        <w:t>,</w:t>
      </w:r>
      <w:r w:rsidR="005C0B77" w:rsidRPr="00F43C58">
        <w:rPr>
          <w:b/>
          <w:lang w:val="lv-LV"/>
        </w:rPr>
        <w:t xml:space="preserve"> nodibinājums „</w:t>
      </w:r>
      <w:r w:rsidRPr="00F43C58">
        <w:rPr>
          <w:b/>
          <w:lang w:val="lv-LV"/>
        </w:rPr>
        <w:t>Valmieras novada fond</w:t>
      </w:r>
      <w:r w:rsidR="005C0B77" w:rsidRPr="00F43C58">
        <w:rPr>
          <w:b/>
          <w:lang w:val="lv-LV"/>
        </w:rPr>
        <w:t>s”</w:t>
      </w:r>
      <w:r w:rsidRPr="00F43C58">
        <w:rPr>
          <w:b/>
          <w:lang w:val="lv-LV"/>
        </w:rPr>
        <w:t xml:space="preserve"> un</w:t>
      </w:r>
      <w:r w:rsidR="005C0B77" w:rsidRPr="00F43C58">
        <w:rPr>
          <w:b/>
          <w:lang w:val="lv-LV"/>
        </w:rPr>
        <w:t xml:space="preserve"> biedrība „</w:t>
      </w:r>
      <w:r w:rsidRPr="00F43C58">
        <w:rPr>
          <w:b/>
          <w:lang w:val="lv-LV"/>
        </w:rPr>
        <w:t>Zemgales NVO atbalsta centr</w:t>
      </w:r>
      <w:r w:rsidR="005C0B77" w:rsidRPr="00F43C58">
        <w:rPr>
          <w:b/>
          <w:lang w:val="lv-LV"/>
        </w:rPr>
        <w:t>s”. Konsorcijs</w:t>
      </w:r>
      <w:r w:rsidRPr="00F43C58">
        <w:rPr>
          <w:b/>
          <w:lang w:val="lv-LV"/>
        </w:rPr>
        <w:t xml:space="preserve"> būs atbildīgs par </w:t>
      </w:r>
      <w:r w:rsidR="005C0B77" w:rsidRPr="00F43C58">
        <w:rPr>
          <w:b/>
          <w:lang w:val="lv-LV"/>
        </w:rPr>
        <w:t>F</w:t>
      </w:r>
      <w:r w:rsidRPr="00F43C58">
        <w:rPr>
          <w:b/>
          <w:lang w:val="lv-LV"/>
        </w:rPr>
        <w:t xml:space="preserve">onda  </w:t>
      </w:r>
      <w:r w:rsidR="005C0B77" w:rsidRPr="00F43C58">
        <w:rPr>
          <w:b/>
          <w:lang w:val="lv-LV"/>
        </w:rPr>
        <w:t>darbības nodrošināšanu un attīstību</w:t>
      </w:r>
      <w:r w:rsidRPr="00F43C58">
        <w:rPr>
          <w:b/>
          <w:lang w:val="lv-LV"/>
        </w:rPr>
        <w:t>.</w:t>
      </w:r>
    </w:p>
    <w:p w14:paraId="5D75B08E" w14:textId="77777777" w:rsidR="00F43C58" w:rsidRPr="006408D4" w:rsidRDefault="00F43C58" w:rsidP="006B526F">
      <w:pPr>
        <w:jc w:val="both"/>
        <w:rPr>
          <w:b/>
          <w:lang w:val="lv-LV"/>
        </w:rPr>
      </w:pPr>
      <w:r w:rsidRPr="006408D4">
        <w:rPr>
          <w:b/>
          <w:lang w:val="lv-LV"/>
        </w:rPr>
        <w:t xml:space="preserve">Šis diskusiju dokuments iepazīstina ar Konsorcija identificētajiem </w:t>
      </w:r>
      <w:r w:rsidRPr="006408D4">
        <w:rPr>
          <w:rStyle w:val="CommentReference"/>
          <w:b/>
          <w:lang w:val="lv-LV"/>
        </w:rPr>
        <w:t> </w:t>
      </w:r>
      <w:r w:rsidRPr="006408D4">
        <w:rPr>
          <w:b/>
          <w:lang w:val="lv-LV"/>
        </w:rPr>
        <w:t xml:space="preserve">būtiskākajiem izaicinājumiem valstī saistībā ar Fonda mērķa sasniegšanu </w:t>
      </w:r>
      <w:r w:rsidRPr="006408D4">
        <w:rPr>
          <w:rStyle w:val="CommentReference"/>
          <w:b/>
          <w:lang w:val="lv-LV"/>
        </w:rPr>
        <w:t> </w:t>
      </w:r>
      <w:r w:rsidRPr="006408D4">
        <w:rPr>
          <w:b/>
          <w:lang w:val="lv-LV"/>
        </w:rPr>
        <w:t>un, ņemot vērā pilsoniskās sabiedrības jomā iesaistīto pušu atgriezeniskās saites svarīgumu Fonda darbības plānošanā, aicina apriest un izteikt priekšlikumus</w:t>
      </w:r>
      <w:r w:rsidR="00AA26F6">
        <w:rPr>
          <w:b/>
          <w:lang w:val="lv-LV"/>
        </w:rPr>
        <w:t>,</w:t>
      </w:r>
      <w:r w:rsidRPr="006408D4">
        <w:rPr>
          <w:b/>
          <w:lang w:val="lv-LV"/>
        </w:rPr>
        <w:t xml:space="preserve"> kā Fonda darbības ietvarā varētu tikt risināti minētie izaicinājumi.</w:t>
      </w:r>
    </w:p>
    <w:p w14:paraId="0703110E" w14:textId="77777777" w:rsidR="00F20523" w:rsidRPr="00F43C58" w:rsidRDefault="00F20523" w:rsidP="00F47F29">
      <w:pPr>
        <w:jc w:val="both"/>
        <w:rPr>
          <w:b/>
          <w:lang w:val="lv-LV"/>
        </w:rPr>
      </w:pPr>
    </w:p>
    <w:p w14:paraId="1BB1F4EB" w14:textId="77777777" w:rsidR="00CD65B3" w:rsidRPr="00F43C58" w:rsidRDefault="00616946" w:rsidP="000D6E64">
      <w:pPr>
        <w:pStyle w:val="Heading1"/>
      </w:pPr>
      <w:r w:rsidRPr="00F43C58">
        <w:t>PROGRAMMAS ATBILSTĪBA UN PAMATOJUMS</w:t>
      </w:r>
    </w:p>
    <w:p w14:paraId="150DA301" w14:textId="0C13038A" w:rsidR="0077202F" w:rsidRPr="000A3FFD" w:rsidRDefault="0077202F" w:rsidP="0077202F">
      <w:pPr>
        <w:spacing w:after="120" w:line="240" w:lineRule="auto"/>
        <w:jc w:val="both"/>
        <w:rPr>
          <w:color w:val="242424"/>
          <w:highlight w:val="white"/>
          <w:u w:val="single"/>
          <w:lang w:val="lv-LV"/>
        </w:rPr>
      </w:pPr>
      <w:r w:rsidRPr="000A3FFD">
        <w:rPr>
          <w:b/>
          <w:color w:val="212121"/>
          <w:highlight w:val="white"/>
          <w:lang w:val="lv-LV"/>
        </w:rPr>
        <w:t>Pilsoniskās sabiedrības ilgtspēju</w:t>
      </w:r>
      <w:r>
        <w:rPr>
          <w:b/>
          <w:color w:val="212121"/>
          <w:highlight w:val="white"/>
          <w:lang w:val="lv-LV"/>
        </w:rPr>
        <w:t xml:space="preserve"> Latvijā </w:t>
      </w:r>
      <w:r w:rsidRPr="000A3FFD">
        <w:rPr>
          <w:b/>
          <w:color w:val="212121"/>
          <w:highlight w:val="white"/>
          <w:lang w:val="lv-LV"/>
        </w:rPr>
        <w:t xml:space="preserve">ietekmē nestabila tiesiskā un finanšu vide, tai skaitā </w:t>
      </w:r>
      <w:r>
        <w:rPr>
          <w:b/>
          <w:color w:val="212121"/>
          <w:highlight w:val="white"/>
          <w:lang w:val="lv-LV"/>
        </w:rPr>
        <w:t>valsts</w:t>
      </w:r>
      <w:r w:rsidRPr="000A3FFD">
        <w:rPr>
          <w:b/>
          <w:color w:val="212121"/>
          <w:highlight w:val="white"/>
          <w:lang w:val="lv-LV"/>
        </w:rPr>
        <w:t xml:space="preserve"> ierēdņu un politiķu </w:t>
      </w:r>
      <w:r>
        <w:rPr>
          <w:b/>
          <w:color w:val="212121"/>
          <w:highlight w:val="white"/>
          <w:lang w:val="lv-LV"/>
        </w:rPr>
        <w:t xml:space="preserve">biežā </w:t>
      </w:r>
      <w:r w:rsidRPr="000A3FFD">
        <w:rPr>
          <w:b/>
          <w:color w:val="212121"/>
          <w:highlight w:val="white"/>
          <w:lang w:val="lv-LV"/>
        </w:rPr>
        <w:t xml:space="preserve">neieinteresētība </w:t>
      </w:r>
      <w:r>
        <w:rPr>
          <w:b/>
          <w:color w:val="212121"/>
          <w:highlight w:val="white"/>
          <w:lang w:val="lv-LV"/>
        </w:rPr>
        <w:t>problēmjautājumu sakārtošanā, kā arī NVO darba un ieguldījuma</w:t>
      </w:r>
      <w:r w:rsidRPr="000A3FFD">
        <w:rPr>
          <w:b/>
          <w:color w:val="212121"/>
          <w:highlight w:val="white"/>
          <w:lang w:val="lv-LV"/>
        </w:rPr>
        <w:t xml:space="preserve"> nepietiekamais </w:t>
      </w:r>
      <w:r>
        <w:rPr>
          <w:b/>
          <w:color w:val="212121"/>
          <w:highlight w:val="white"/>
          <w:lang w:val="lv-LV"/>
        </w:rPr>
        <w:t>novērtējums</w:t>
      </w:r>
      <w:r w:rsidRPr="000A3FFD">
        <w:rPr>
          <w:b/>
          <w:color w:val="212121"/>
          <w:highlight w:val="white"/>
          <w:lang w:val="lv-LV"/>
        </w:rPr>
        <w:t xml:space="preserve">. </w:t>
      </w:r>
      <w:r w:rsidRPr="000A3FFD">
        <w:rPr>
          <w:color w:val="242424"/>
          <w:highlight w:val="white"/>
          <w:lang w:val="lv-LV"/>
        </w:rPr>
        <w:t>CIVICUS mon</w:t>
      </w:r>
      <w:r>
        <w:rPr>
          <w:color w:val="242424"/>
          <w:highlight w:val="white"/>
          <w:lang w:val="lv-LV"/>
        </w:rPr>
        <w:t>itoring rezultāti liecina, ka pē</w:t>
      </w:r>
      <w:r w:rsidRPr="000A3FFD">
        <w:rPr>
          <w:color w:val="242424"/>
          <w:highlight w:val="white"/>
          <w:lang w:val="lv-LV"/>
        </w:rPr>
        <w:t xml:space="preserve">dējos divos gados pilsoniskā telpa Latvijā ir apzināti ierobežota. Tāpat ES Pamattiesību aģentūra </w:t>
      </w:r>
      <w:r>
        <w:rPr>
          <w:color w:val="242424"/>
          <w:lang w:val="lv-LV"/>
        </w:rPr>
        <w:t xml:space="preserve">identificējusi </w:t>
      </w:r>
      <w:r w:rsidR="00AA26F6">
        <w:rPr>
          <w:color w:val="242424"/>
          <w:lang w:val="lv-LV"/>
        </w:rPr>
        <w:t>šādus</w:t>
      </w:r>
      <w:r w:rsidR="00AA26F6" w:rsidRPr="000A3FFD">
        <w:rPr>
          <w:color w:val="242424"/>
          <w:lang w:val="lv-LV"/>
        </w:rPr>
        <w:t xml:space="preserve"> </w:t>
      </w:r>
      <w:r>
        <w:rPr>
          <w:color w:val="242424"/>
          <w:lang w:val="lv-LV"/>
        </w:rPr>
        <w:t xml:space="preserve">izaicinājumus Latvijā, kas </w:t>
      </w:r>
      <w:r w:rsidRPr="000A3FFD">
        <w:rPr>
          <w:color w:val="242424"/>
          <w:lang w:val="lv-LV"/>
        </w:rPr>
        <w:t xml:space="preserve">ietekmē NVO darbību: </w:t>
      </w:r>
      <w:r>
        <w:rPr>
          <w:color w:val="242424"/>
          <w:lang w:val="lv-LV"/>
        </w:rPr>
        <w:t>(</w:t>
      </w:r>
      <w:r w:rsidRPr="000A3FFD">
        <w:rPr>
          <w:color w:val="242424"/>
          <w:u w:val="single"/>
          <w:lang w:val="lv-LV"/>
        </w:rPr>
        <w:t xml:space="preserve">1) </w:t>
      </w:r>
      <w:r>
        <w:rPr>
          <w:color w:val="242424"/>
          <w:u w:val="single"/>
          <w:lang w:val="lv-LV"/>
        </w:rPr>
        <w:t xml:space="preserve">NVO darbībai </w:t>
      </w:r>
      <w:r w:rsidRPr="000A3FFD">
        <w:rPr>
          <w:color w:val="242424"/>
          <w:u w:val="single"/>
          <w:lang w:val="lv-LV"/>
        </w:rPr>
        <w:t xml:space="preserve">negatīvas izmaiņas tiesību aktos vai nepietiekama </w:t>
      </w:r>
      <w:r>
        <w:rPr>
          <w:color w:val="242424"/>
          <w:u w:val="single"/>
          <w:lang w:val="lv-LV"/>
        </w:rPr>
        <w:t>likumu</w:t>
      </w:r>
      <w:r w:rsidRPr="000A3FFD">
        <w:rPr>
          <w:color w:val="242424"/>
          <w:u w:val="single"/>
          <w:lang w:val="lv-LV"/>
        </w:rPr>
        <w:t xml:space="preserve"> ieviešana; (2) šķēršļi finanšu resursu </w:t>
      </w:r>
      <w:r w:rsidR="00E8775B">
        <w:rPr>
          <w:color w:val="242424"/>
          <w:u w:val="single"/>
          <w:lang w:val="lv-LV"/>
        </w:rPr>
        <w:t>pieejamībai</w:t>
      </w:r>
      <w:r w:rsidRPr="000A3FFD">
        <w:rPr>
          <w:color w:val="242424"/>
          <w:u w:val="single"/>
          <w:lang w:val="lv-LV"/>
        </w:rPr>
        <w:t xml:space="preserve"> un to ilgtspējības nodrošināšanai; (3) grūtības piekļūt lēmumu pieņēmējiem un ietekmēt tiesību aktus un politikas veidošanu; (4) uzbrukumi un aizskārumi cilvēktiesību aizstāvjiem, tostarp </w:t>
      </w:r>
      <w:r w:rsidR="002A27B0">
        <w:rPr>
          <w:color w:val="242424"/>
          <w:u w:val="single"/>
          <w:lang w:val="lv-LV"/>
        </w:rPr>
        <w:t>publiska komunikācija</w:t>
      </w:r>
      <w:r w:rsidRPr="000A3FFD">
        <w:rPr>
          <w:color w:val="242424"/>
          <w:u w:val="single"/>
          <w:lang w:val="lv-LV"/>
        </w:rPr>
        <w:t xml:space="preserve"> </w:t>
      </w:r>
      <w:r>
        <w:rPr>
          <w:color w:val="242424"/>
          <w:u w:val="single"/>
          <w:lang w:val="lv-LV"/>
        </w:rPr>
        <w:t>ar mērķi</w:t>
      </w:r>
      <w:r w:rsidRPr="000A3FFD">
        <w:rPr>
          <w:color w:val="242424"/>
          <w:u w:val="single"/>
          <w:lang w:val="lv-LV"/>
        </w:rPr>
        <w:t xml:space="preserve"> </w:t>
      </w:r>
      <w:r w:rsidRPr="00152335">
        <w:rPr>
          <w:color w:val="242424"/>
          <w:u w:val="single"/>
          <w:lang w:val="lv-LV"/>
        </w:rPr>
        <w:t>diskredidēt</w:t>
      </w:r>
      <w:r w:rsidRPr="000A3FFD">
        <w:rPr>
          <w:color w:val="242424"/>
          <w:u w:val="single"/>
          <w:lang w:val="lv-LV"/>
        </w:rPr>
        <w:t xml:space="preserve"> un stigmatizēt </w:t>
      </w:r>
      <w:r w:rsidR="00C30F69" w:rsidRPr="00C30F69">
        <w:rPr>
          <w:color w:val="242424"/>
          <w:u w:val="single"/>
          <w:lang w:val="lv-LV"/>
        </w:rPr>
        <w:t>pilsoniskās sabiedrības organizācijas</w:t>
      </w:r>
      <w:r w:rsidRPr="000A3FFD">
        <w:rPr>
          <w:color w:val="242424"/>
          <w:u w:val="single"/>
          <w:lang w:val="lv-LV"/>
        </w:rPr>
        <w:t>.</w:t>
      </w:r>
    </w:p>
    <w:p w14:paraId="473329B7" w14:textId="2EC5C81C" w:rsidR="00616946" w:rsidRPr="00F026CB" w:rsidRDefault="00C30F69" w:rsidP="00F026CB">
      <w:pPr>
        <w:spacing w:before="240" w:after="120" w:line="240" w:lineRule="auto"/>
        <w:jc w:val="both"/>
        <w:rPr>
          <w:color w:val="242424"/>
          <w:lang w:val="lv-LV"/>
        </w:rPr>
      </w:pPr>
      <w:r>
        <w:rPr>
          <w:color w:val="242424"/>
          <w:lang w:val="lv-LV"/>
        </w:rPr>
        <w:t xml:space="preserve">Pilsoniskās sabiedrības </w:t>
      </w:r>
      <w:r w:rsidR="00AA26F6">
        <w:rPr>
          <w:color w:val="242424"/>
          <w:lang w:val="lv-LV"/>
        </w:rPr>
        <w:t xml:space="preserve">organizācijām </w:t>
      </w:r>
      <w:r w:rsidR="0077202F">
        <w:rPr>
          <w:color w:val="242424"/>
          <w:lang w:val="lv-LV"/>
        </w:rPr>
        <w:t>pieejamā finansējuma sistēma Latvijā pamatā</w:t>
      </w:r>
      <w:r w:rsidR="00F026CB">
        <w:rPr>
          <w:color w:val="242424"/>
          <w:lang w:val="lv-LV"/>
        </w:rPr>
        <w:t xml:space="preserve"> nenodrošina līdzvērtīgu atbalstu visu jomu NVO darbībai,</w:t>
      </w:r>
      <w:r>
        <w:rPr>
          <w:color w:val="242424"/>
          <w:lang w:val="lv-LV"/>
        </w:rPr>
        <w:t xml:space="preserve"> jo tā</w:t>
      </w:r>
      <w:r w:rsidR="0077202F">
        <w:rPr>
          <w:color w:val="242424"/>
          <w:lang w:val="lv-LV"/>
        </w:rPr>
        <w:t xml:space="preserve"> </w:t>
      </w:r>
      <w:r w:rsidR="00AA26F6">
        <w:rPr>
          <w:color w:val="242424"/>
          <w:lang w:val="lv-LV"/>
        </w:rPr>
        <w:t xml:space="preserve">koncentrējas </w:t>
      </w:r>
      <w:r w:rsidR="0077202F">
        <w:rPr>
          <w:color w:val="242424"/>
          <w:lang w:val="lv-LV"/>
        </w:rPr>
        <w:t>uz konkrēt</w:t>
      </w:r>
      <w:r w:rsidR="00F026CB">
        <w:rPr>
          <w:color w:val="242424"/>
          <w:lang w:val="lv-LV"/>
        </w:rPr>
        <w:t>ām</w:t>
      </w:r>
      <w:r w:rsidR="0077202F">
        <w:rPr>
          <w:color w:val="242424"/>
          <w:lang w:val="lv-LV"/>
        </w:rPr>
        <w:t xml:space="preserve"> jom</w:t>
      </w:r>
      <w:r w:rsidR="00F026CB">
        <w:rPr>
          <w:color w:val="242424"/>
          <w:lang w:val="lv-LV"/>
        </w:rPr>
        <w:t>ām</w:t>
      </w:r>
      <w:r w:rsidR="0077202F">
        <w:rPr>
          <w:color w:val="242424"/>
          <w:lang w:val="lv-LV"/>
        </w:rPr>
        <w:t>, piemēram,</w:t>
      </w:r>
      <w:r w:rsidR="0077202F" w:rsidRPr="0043673B">
        <w:rPr>
          <w:color w:val="242424"/>
          <w:lang w:val="lv-LV"/>
        </w:rPr>
        <w:t xml:space="preserve"> </w:t>
      </w:r>
      <w:r w:rsidR="0077202F" w:rsidRPr="000A3FFD">
        <w:rPr>
          <w:color w:val="242424"/>
          <w:lang w:val="lv-LV"/>
        </w:rPr>
        <w:t>sportu, kultūru, vidi u</w:t>
      </w:r>
      <w:r w:rsidR="00F026CB">
        <w:rPr>
          <w:color w:val="242424"/>
          <w:lang w:val="lv-LV"/>
        </w:rPr>
        <w:t>.</w:t>
      </w:r>
      <w:r w:rsidR="0077202F" w:rsidRPr="000A3FFD">
        <w:rPr>
          <w:color w:val="242424"/>
          <w:lang w:val="lv-LV"/>
        </w:rPr>
        <w:t>t</w:t>
      </w:r>
      <w:r w:rsidR="00F026CB">
        <w:rPr>
          <w:color w:val="242424"/>
          <w:lang w:val="lv-LV"/>
        </w:rPr>
        <w:t>.</w:t>
      </w:r>
      <w:r w:rsidR="0077202F" w:rsidRPr="000A3FFD">
        <w:rPr>
          <w:color w:val="242424"/>
          <w:lang w:val="lv-LV"/>
        </w:rPr>
        <w:t>t</w:t>
      </w:r>
      <w:r w:rsidR="0077202F">
        <w:rPr>
          <w:color w:val="242424"/>
          <w:lang w:val="lv-LV"/>
        </w:rPr>
        <w:t xml:space="preserve">, </w:t>
      </w:r>
      <w:r w:rsidR="00F026CB">
        <w:rPr>
          <w:color w:val="242424"/>
          <w:lang w:val="lv-LV"/>
        </w:rPr>
        <w:t xml:space="preserve">bet ne organizācijām, kuras darbojas horizontālajās jomās. </w:t>
      </w:r>
      <w:r w:rsidR="00616946" w:rsidRPr="00F43C58">
        <w:rPr>
          <w:color w:val="242424"/>
          <w:lang w:val="lv-LV"/>
        </w:rPr>
        <w:t xml:space="preserve">Vēl nelabvēlīgākā situācijā atrodas NVO, kas darbojas starpnozaru jautājumos, interešu aizstāvības, cilvēktiesību, </w:t>
      </w:r>
      <w:r w:rsidR="00616946" w:rsidRPr="00F43C58">
        <w:rPr>
          <w:color w:val="242424"/>
          <w:u w:val="single"/>
          <w:lang w:val="lv-LV"/>
        </w:rPr>
        <w:t>pilsoniskās sabiedrības attīstības (tostarp organizācijas, kas darbojas pilsoniskās kompetences attīstībā) jomās un NVO, kuru jomas nekoncentrējas tikai vienā ministrijā (tā saucamās horiz</w:t>
      </w:r>
      <w:r w:rsidR="00F026CB">
        <w:rPr>
          <w:color w:val="242424"/>
          <w:u w:val="single"/>
          <w:lang w:val="lv-LV"/>
        </w:rPr>
        <w:t>ontālās jomas NVO). Latvijā šādu</w:t>
      </w:r>
      <w:r w:rsidR="00616946" w:rsidRPr="00F43C58">
        <w:rPr>
          <w:color w:val="242424"/>
          <w:u w:val="single"/>
          <w:lang w:val="lv-LV"/>
        </w:rPr>
        <w:t xml:space="preserve"> NVO</w:t>
      </w:r>
      <w:r w:rsidR="00F026CB">
        <w:rPr>
          <w:color w:val="242424"/>
          <w:u w:val="single"/>
          <w:lang w:val="lv-LV"/>
        </w:rPr>
        <w:t xml:space="preserve"> </w:t>
      </w:r>
      <w:r w:rsidR="00F026CB" w:rsidRPr="00F026CB">
        <w:rPr>
          <w:color w:val="242424"/>
          <w:u w:val="single"/>
          <w:lang w:val="lv-LV"/>
        </w:rPr>
        <w:t>darbībai</w:t>
      </w:r>
      <w:r w:rsidR="00616946" w:rsidRPr="00F026CB">
        <w:rPr>
          <w:color w:val="242424"/>
          <w:u w:val="single"/>
          <w:lang w:val="lv-LV"/>
        </w:rPr>
        <w:t xml:space="preserve"> ir tikai v</w:t>
      </w:r>
      <w:r w:rsidR="00F026CB" w:rsidRPr="00F026CB">
        <w:rPr>
          <w:color w:val="242424"/>
          <w:u w:val="single"/>
          <w:lang w:val="lv-LV"/>
        </w:rPr>
        <w:t xml:space="preserve">iens vērā ņemams finanšu atbalsta avots – valsts budžeta finansētais </w:t>
      </w:r>
      <w:r w:rsidR="00616946" w:rsidRPr="00F026CB">
        <w:rPr>
          <w:color w:val="242424"/>
          <w:u w:val="single"/>
          <w:lang w:val="lv-LV"/>
        </w:rPr>
        <w:t xml:space="preserve"> NVO fonds, </w:t>
      </w:r>
      <w:r w:rsidR="00F026CB" w:rsidRPr="00F026CB">
        <w:rPr>
          <w:color w:val="242424"/>
          <w:u w:val="single"/>
          <w:lang w:val="lv-LV"/>
        </w:rPr>
        <w:t>ku</w:t>
      </w:r>
      <w:r w:rsidR="00F026CB" w:rsidRPr="00F026CB">
        <w:rPr>
          <w:highlight w:val="white"/>
          <w:u w:val="single"/>
          <w:lang w:val="lv-LV"/>
        </w:rPr>
        <w:t xml:space="preserve">rš sektoram pieejams kopš 2016.gada ar </w:t>
      </w:r>
      <w:r w:rsidR="00AA26F6" w:rsidRPr="00F026CB">
        <w:rPr>
          <w:highlight w:val="white"/>
          <w:u w:val="single"/>
          <w:lang w:val="lv-LV"/>
        </w:rPr>
        <w:t>400</w:t>
      </w:r>
      <w:r w:rsidR="00AA26F6">
        <w:rPr>
          <w:highlight w:val="white"/>
          <w:u w:val="single"/>
          <w:lang w:val="lv-LV"/>
        </w:rPr>
        <w:t xml:space="preserve"> 000 </w:t>
      </w:r>
      <w:r w:rsidR="00AA26F6" w:rsidRPr="00E8775B">
        <w:rPr>
          <w:i/>
          <w:highlight w:val="white"/>
          <w:u w:val="single"/>
          <w:lang w:val="lv-LV"/>
        </w:rPr>
        <w:t>euro</w:t>
      </w:r>
      <w:r w:rsidR="00AA26F6" w:rsidRPr="00F026CB">
        <w:rPr>
          <w:highlight w:val="white"/>
          <w:u w:val="single"/>
          <w:lang w:val="lv-LV"/>
        </w:rPr>
        <w:t xml:space="preserve"> </w:t>
      </w:r>
      <w:r w:rsidR="00F026CB" w:rsidRPr="00F026CB">
        <w:rPr>
          <w:highlight w:val="white"/>
          <w:u w:val="single"/>
          <w:lang w:val="lv-LV"/>
        </w:rPr>
        <w:t>gada budžetu un ir nepietiekams sektora vajadzībām</w:t>
      </w:r>
      <w:r w:rsidR="00616946" w:rsidRPr="00F026CB">
        <w:rPr>
          <w:color w:val="242424"/>
          <w:u w:val="single"/>
          <w:lang w:val="lv-LV"/>
        </w:rPr>
        <w:t>.</w:t>
      </w:r>
      <w:r>
        <w:rPr>
          <w:color w:val="242424"/>
          <w:u w:val="single"/>
          <w:lang w:val="lv-LV"/>
        </w:rPr>
        <w:t xml:space="preserve"> Kopumā sektoram p</w:t>
      </w:r>
      <w:r>
        <w:rPr>
          <w:color w:val="242424"/>
          <w:lang w:val="lv-LV"/>
        </w:rPr>
        <w:t xml:space="preserve">ieejamais finansējums ir </w:t>
      </w:r>
      <w:r w:rsidRPr="00F43C58">
        <w:rPr>
          <w:color w:val="242424"/>
          <w:lang w:val="lv-LV"/>
        </w:rPr>
        <w:t>sadrumstalot</w:t>
      </w:r>
      <w:r>
        <w:rPr>
          <w:color w:val="242424"/>
          <w:lang w:val="lv-LV"/>
        </w:rPr>
        <w:t>s</w:t>
      </w:r>
      <w:r w:rsidR="00AA26F6">
        <w:rPr>
          <w:color w:val="242424"/>
          <w:lang w:val="lv-LV"/>
        </w:rPr>
        <w:t>,</w:t>
      </w:r>
      <w:r w:rsidRPr="00F43C58">
        <w:rPr>
          <w:color w:val="242424"/>
          <w:lang w:val="lv-LV"/>
        </w:rPr>
        <w:t xml:space="preserve"> un </w:t>
      </w:r>
      <w:r>
        <w:rPr>
          <w:color w:val="242424"/>
          <w:lang w:val="lv-LV"/>
        </w:rPr>
        <w:t xml:space="preserve">atbalsts </w:t>
      </w:r>
      <w:r w:rsidRPr="00F43C58">
        <w:rPr>
          <w:color w:val="242424"/>
          <w:lang w:val="lv-LV"/>
        </w:rPr>
        <w:t xml:space="preserve">atkarīgs no </w:t>
      </w:r>
      <w:r>
        <w:rPr>
          <w:color w:val="242424"/>
          <w:lang w:val="lv-LV"/>
        </w:rPr>
        <w:t>konkrētā brīža</w:t>
      </w:r>
      <w:r w:rsidRPr="00F43C58">
        <w:rPr>
          <w:color w:val="242424"/>
          <w:lang w:val="lv-LV"/>
        </w:rPr>
        <w:t xml:space="preserve"> politiskām prioritātēm.</w:t>
      </w:r>
    </w:p>
    <w:p w14:paraId="10D42ED8" w14:textId="749AB249" w:rsidR="00616946" w:rsidRDefault="00616946" w:rsidP="003834AF">
      <w:pPr>
        <w:spacing w:before="240" w:after="120" w:line="240" w:lineRule="auto"/>
        <w:jc w:val="both"/>
        <w:rPr>
          <w:color w:val="212121"/>
          <w:lang w:val="lv-LV"/>
        </w:rPr>
      </w:pPr>
      <w:r w:rsidRPr="00F43C58">
        <w:rPr>
          <w:b/>
          <w:color w:val="212121"/>
          <w:lang w:val="lv-LV"/>
        </w:rPr>
        <w:t xml:space="preserve">Latvijā pastāv uzticēšanās krīze (starp cilvēkiem, valsts pārvaldes iestādēm, </w:t>
      </w:r>
      <w:r w:rsidR="006B20A2" w:rsidRPr="00F43C58">
        <w:rPr>
          <w:b/>
          <w:color w:val="212121"/>
          <w:lang w:val="lv-LV"/>
        </w:rPr>
        <w:t>NVO, medijiem u</w:t>
      </w:r>
      <w:r w:rsidR="002A5BCE">
        <w:rPr>
          <w:b/>
          <w:color w:val="212121"/>
          <w:lang w:val="lv-LV"/>
        </w:rPr>
        <w:t>.</w:t>
      </w:r>
      <w:r w:rsidR="006B20A2" w:rsidRPr="00F43C58">
        <w:rPr>
          <w:b/>
          <w:color w:val="212121"/>
          <w:lang w:val="lv-LV"/>
        </w:rPr>
        <w:t>t</w:t>
      </w:r>
      <w:r w:rsidR="002A5BCE">
        <w:rPr>
          <w:b/>
          <w:color w:val="212121"/>
          <w:lang w:val="lv-LV"/>
        </w:rPr>
        <w:t>.</w:t>
      </w:r>
      <w:r w:rsidR="006B20A2" w:rsidRPr="00F43C58">
        <w:rPr>
          <w:b/>
          <w:color w:val="212121"/>
          <w:lang w:val="lv-LV"/>
        </w:rPr>
        <w:t>t.)</w:t>
      </w:r>
      <w:r w:rsidR="00AA26F6">
        <w:rPr>
          <w:b/>
          <w:color w:val="212121"/>
          <w:lang w:val="lv-LV"/>
        </w:rPr>
        <w:t>,</w:t>
      </w:r>
      <w:r w:rsidR="006B20A2" w:rsidRPr="00F43C58">
        <w:rPr>
          <w:b/>
          <w:color w:val="212121"/>
          <w:lang w:val="lv-LV"/>
        </w:rPr>
        <w:t xml:space="preserve"> u</w:t>
      </w:r>
      <w:r w:rsidRPr="00F43C58">
        <w:rPr>
          <w:b/>
          <w:color w:val="212121"/>
          <w:lang w:val="lv-LV"/>
        </w:rPr>
        <w:t>n</w:t>
      </w:r>
      <w:r w:rsidR="002A5BCE">
        <w:rPr>
          <w:b/>
          <w:color w:val="212121"/>
          <w:lang w:val="lv-LV"/>
        </w:rPr>
        <w:t xml:space="preserve"> ir</w:t>
      </w:r>
      <w:r w:rsidRPr="00F43C58">
        <w:rPr>
          <w:b/>
          <w:color w:val="212121"/>
          <w:lang w:val="lv-LV"/>
        </w:rPr>
        <w:t xml:space="preserve"> ļoti zems pilsoniskās un politiskās līdzdalības līmenis </w:t>
      </w:r>
      <w:r w:rsidRPr="00F43C58">
        <w:rPr>
          <w:color w:val="212121"/>
          <w:lang w:val="lv-LV"/>
        </w:rPr>
        <w:t xml:space="preserve">(pēdējās </w:t>
      </w:r>
      <w:r w:rsidR="006B20A2" w:rsidRPr="00F43C58">
        <w:rPr>
          <w:color w:val="212121"/>
          <w:lang w:val="lv-LV"/>
        </w:rPr>
        <w:t xml:space="preserve">Saeimas </w:t>
      </w:r>
      <w:r w:rsidRPr="00F43C58">
        <w:rPr>
          <w:color w:val="212121"/>
          <w:lang w:val="lv-LV"/>
        </w:rPr>
        <w:t>vēlēšanās piedalījās 59,4% pilsoņu</w:t>
      </w:r>
      <w:r w:rsidR="006B20A2" w:rsidRPr="00F43C58">
        <w:rPr>
          <w:color w:val="212121"/>
          <w:lang w:val="lv-LV"/>
        </w:rPr>
        <w:t>,</w:t>
      </w:r>
      <w:r w:rsidRPr="00F43C58">
        <w:rPr>
          <w:color w:val="212121"/>
          <w:lang w:val="lv-LV"/>
        </w:rPr>
        <w:t xml:space="preserve"> pašvaldību vēlēšanas </w:t>
      </w:r>
      <w:r w:rsidR="006B20A2" w:rsidRPr="00F43C58">
        <w:rPr>
          <w:color w:val="212121"/>
          <w:lang w:val="lv-LV"/>
        </w:rPr>
        <w:t>- 50,39%, un Eiropas Parlamenta</w:t>
      </w:r>
      <w:r w:rsidRPr="00F43C58">
        <w:rPr>
          <w:color w:val="212121"/>
          <w:lang w:val="lv-LV"/>
        </w:rPr>
        <w:t xml:space="preserve"> - 30,2%). Tikai 9% iedzīvotāju var uzskatīt par pilsoniski aktīviem (Rietumeiropas valstīs - aptuveni 25%, Skandināvijas </w:t>
      </w:r>
      <w:r w:rsidR="006B20A2" w:rsidRPr="00F43C58">
        <w:rPr>
          <w:color w:val="212121"/>
          <w:lang w:val="lv-LV"/>
        </w:rPr>
        <w:t>valstīs - vismaz 30%). Eiropas S</w:t>
      </w:r>
      <w:r w:rsidRPr="00F43C58">
        <w:rPr>
          <w:color w:val="212121"/>
          <w:lang w:val="lv-LV"/>
        </w:rPr>
        <w:t>oci</w:t>
      </w:r>
      <w:r w:rsidR="006B20A2" w:rsidRPr="00F43C58">
        <w:rPr>
          <w:color w:val="212121"/>
          <w:lang w:val="lv-LV"/>
        </w:rPr>
        <w:t>ālais pētījums 2015. gadā atklāja, ka savstarpējā uzticēšanās</w:t>
      </w:r>
      <w:r w:rsidRPr="00F43C58">
        <w:rPr>
          <w:color w:val="212121"/>
          <w:lang w:val="lv-LV"/>
        </w:rPr>
        <w:t xml:space="preserve"> Latvi</w:t>
      </w:r>
      <w:r w:rsidR="006B20A2" w:rsidRPr="00F43C58">
        <w:rPr>
          <w:color w:val="212121"/>
          <w:lang w:val="lv-LV"/>
        </w:rPr>
        <w:t xml:space="preserve">jā ir 51%, salīdzinājumā ar 88% Norvēģijā. Saskaņā ar </w:t>
      </w:r>
      <w:r w:rsidRPr="00F43C58">
        <w:rPr>
          <w:color w:val="212121"/>
          <w:lang w:val="lv-LV"/>
        </w:rPr>
        <w:t>Eurobarometer</w:t>
      </w:r>
      <w:r w:rsidR="005A1B0F">
        <w:rPr>
          <w:color w:val="212121"/>
          <w:lang w:val="lv-LV"/>
        </w:rPr>
        <w:t xml:space="preserve"> standartu</w:t>
      </w:r>
      <w:r w:rsidRPr="00F43C58">
        <w:rPr>
          <w:color w:val="212121"/>
          <w:lang w:val="lv-LV"/>
        </w:rPr>
        <w:t xml:space="preserve"> 89</w:t>
      </w:r>
      <w:r w:rsidR="005A1B0F">
        <w:rPr>
          <w:color w:val="212121"/>
          <w:lang w:val="lv-LV"/>
        </w:rPr>
        <w:t xml:space="preserve"> (2018)</w:t>
      </w:r>
      <w:r w:rsidR="006B20A2" w:rsidRPr="00F43C58">
        <w:rPr>
          <w:color w:val="212121"/>
          <w:lang w:val="lv-LV"/>
        </w:rPr>
        <w:t>,</w:t>
      </w:r>
      <w:r w:rsidRPr="00F43C58">
        <w:rPr>
          <w:color w:val="212121"/>
          <w:lang w:val="lv-LV"/>
        </w:rPr>
        <w:t xml:space="preserve"> </w:t>
      </w:r>
      <w:r w:rsidR="005A1B0F">
        <w:rPr>
          <w:color w:val="212121"/>
          <w:lang w:val="lv-LV"/>
        </w:rPr>
        <w:t xml:space="preserve"> iedzīvotāju uzticēšanās īpatsvars </w:t>
      </w:r>
      <w:r w:rsidRPr="00F43C58">
        <w:rPr>
          <w:color w:val="212121"/>
          <w:lang w:val="lv-LV"/>
        </w:rPr>
        <w:t>valsts pārvalde</w:t>
      </w:r>
      <w:r w:rsidR="005A1B0F">
        <w:rPr>
          <w:color w:val="212121"/>
          <w:lang w:val="lv-LV"/>
        </w:rPr>
        <w:t>i</w:t>
      </w:r>
      <w:r w:rsidR="006B20A2" w:rsidRPr="00F43C58">
        <w:rPr>
          <w:color w:val="212121"/>
          <w:lang w:val="lv-LV"/>
        </w:rPr>
        <w:t xml:space="preserve"> Latvijā ir 31%, </w:t>
      </w:r>
      <w:r w:rsidR="005A1B0F" w:rsidRPr="00F43C58">
        <w:rPr>
          <w:color w:val="212121"/>
          <w:lang w:val="lv-LV"/>
        </w:rPr>
        <w:t>kas ir ceturtais sliktākais rādītājs ES</w:t>
      </w:r>
      <w:r w:rsidR="005A1B0F">
        <w:rPr>
          <w:color w:val="212121"/>
          <w:lang w:val="lv-LV"/>
        </w:rPr>
        <w:t xml:space="preserve">, </w:t>
      </w:r>
      <w:r w:rsidR="006B20A2" w:rsidRPr="00F43C58">
        <w:rPr>
          <w:color w:val="212121"/>
          <w:lang w:val="lv-LV"/>
        </w:rPr>
        <w:t xml:space="preserve">salīdzinājumā ar </w:t>
      </w:r>
      <w:r w:rsidRPr="00F43C58">
        <w:rPr>
          <w:color w:val="212121"/>
          <w:lang w:val="lv-LV"/>
        </w:rPr>
        <w:t xml:space="preserve">50% </w:t>
      </w:r>
      <w:r w:rsidR="006B20A2" w:rsidRPr="00F43C58">
        <w:rPr>
          <w:color w:val="212121"/>
          <w:lang w:val="lv-LV"/>
        </w:rPr>
        <w:t xml:space="preserve">vidēji </w:t>
      </w:r>
      <w:r w:rsidR="005A1B0F">
        <w:rPr>
          <w:color w:val="212121"/>
          <w:lang w:val="lv-LV"/>
        </w:rPr>
        <w:t>ES.</w:t>
      </w:r>
    </w:p>
    <w:p w14:paraId="3715D462" w14:textId="77777777" w:rsidR="003C27E0" w:rsidRDefault="008814E1" w:rsidP="008814E1">
      <w:pPr>
        <w:spacing w:before="240" w:after="120" w:line="240" w:lineRule="auto"/>
        <w:jc w:val="both"/>
        <w:rPr>
          <w:color w:val="212121"/>
          <w:lang w:val="lv-LV"/>
        </w:rPr>
      </w:pPr>
      <w:r w:rsidRPr="008814E1">
        <w:rPr>
          <w:color w:val="212121"/>
          <w:lang w:val="lv-LV"/>
        </w:rPr>
        <w:t>Iedzīvotāju neiesaistīšanās līdzdalības procesos bieži skaidrojama ar nevienlīdzīgiem līdzdalības nosacījumiem attiecībā pret valsts pārvaldes iespējām, kā rezultātā mazinājusies cilvēku pārliecība savai spējai ietekmēt procesus</w:t>
      </w:r>
      <w:r>
        <w:rPr>
          <w:color w:val="212121"/>
          <w:lang w:val="lv-LV"/>
        </w:rPr>
        <w:t>.</w:t>
      </w:r>
      <w:r w:rsidR="006B20A2" w:rsidRPr="00F43C58">
        <w:rPr>
          <w:color w:val="212121"/>
          <w:lang w:val="lv-LV"/>
        </w:rPr>
        <w:t xml:space="preserve"> Šis fakts ļoti negatīvi ietekmē cilvēku </w:t>
      </w:r>
      <w:r w:rsidR="00FD4E59">
        <w:rPr>
          <w:color w:val="212121"/>
          <w:lang w:val="lv-LV"/>
        </w:rPr>
        <w:t xml:space="preserve">vēlmi sadarboties </w:t>
      </w:r>
      <w:r w:rsidR="006B20A2" w:rsidRPr="00F43C58">
        <w:rPr>
          <w:color w:val="212121"/>
          <w:lang w:val="lv-LV"/>
        </w:rPr>
        <w:t>kop</w:t>
      </w:r>
      <w:r w:rsidR="00FD4E59">
        <w:rPr>
          <w:color w:val="212121"/>
          <w:lang w:val="lv-LV"/>
        </w:rPr>
        <w:t>īgu</w:t>
      </w:r>
      <w:r w:rsidR="006B20A2" w:rsidRPr="00F43C58">
        <w:rPr>
          <w:color w:val="212121"/>
          <w:lang w:val="lv-LV"/>
        </w:rPr>
        <w:t xml:space="preserve"> mērķu</w:t>
      </w:r>
      <w:r w:rsidR="00FD4E59">
        <w:rPr>
          <w:color w:val="212121"/>
          <w:lang w:val="lv-LV"/>
        </w:rPr>
        <w:t xml:space="preserve"> sasniegšanai, kā rezultātā Latvijā ir zems pilsoniski aktīvo iedzīvotāju skaits.</w:t>
      </w:r>
      <w:r w:rsidR="006B20A2" w:rsidRPr="00F43C58">
        <w:rPr>
          <w:color w:val="212121"/>
          <w:lang w:val="lv-LV"/>
        </w:rPr>
        <w:t xml:space="preserve"> Ir nepieciešams atjaunot ticību cilvēkiem, ka viņi var ietekmēt procesus</w:t>
      </w:r>
      <w:r w:rsidR="00AA26F6">
        <w:rPr>
          <w:color w:val="212121"/>
          <w:lang w:val="lv-LV"/>
        </w:rPr>
        <w:t>,</w:t>
      </w:r>
      <w:r w:rsidR="003C27E0">
        <w:rPr>
          <w:color w:val="212121"/>
          <w:lang w:val="lv-LV"/>
        </w:rPr>
        <w:t xml:space="preserve"> un pārliecību, ka valstij interesē komunicēt ar sabiedrību un strādāt tās interesēs, veidojot cieņpilnu dialogu.</w:t>
      </w:r>
    </w:p>
    <w:p w14:paraId="5B818B1E" w14:textId="77777777" w:rsidR="00EC0893" w:rsidRDefault="00EC0893" w:rsidP="003834AF">
      <w:pPr>
        <w:spacing w:before="240" w:after="120" w:line="240" w:lineRule="auto"/>
        <w:jc w:val="both"/>
        <w:rPr>
          <w:color w:val="212121"/>
          <w:lang w:val="lv-LV"/>
        </w:rPr>
      </w:pPr>
      <w:r>
        <w:rPr>
          <w:color w:val="212121"/>
          <w:lang w:val="lv-LV"/>
        </w:rPr>
        <w:t>Līdzīgi</w:t>
      </w:r>
      <w:r w:rsidRPr="00F43C58">
        <w:rPr>
          <w:color w:val="212121"/>
          <w:lang w:val="lv-LV"/>
        </w:rPr>
        <w:t xml:space="preserve"> kā citās postpadomju valstīs</w:t>
      </w:r>
      <w:r>
        <w:rPr>
          <w:color w:val="212121"/>
          <w:lang w:val="lv-LV"/>
        </w:rPr>
        <w:t xml:space="preserve">, arī </w:t>
      </w:r>
      <w:r w:rsidRPr="00EC0893">
        <w:rPr>
          <w:b/>
          <w:color w:val="212121"/>
          <w:lang w:val="lv-LV"/>
        </w:rPr>
        <w:t>Latvijā</w:t>
      </w:r>
      <w:r>
        <w:rPr>
          <w:color w:val="212121"/>
          <w:lang w:val="lv-LV"/>
        </w:rPr>
        <w:t xml:space="preserve"> </w:t>
      </w:r>
      <w:r w:rsidR="006B20A2" w:rsidRPr="00F43C58">
        <w:rPr>
          <w:b/>
          <w:color w:val="212121"/>
          <w:lang w:val="lv-LV"/>
        </w:rPr>
        <w:t>pilsoniskā sabiedrība</w:t>
      </w:r>
      <w:r w:rsidR="006B20A2" w:rsidRPr="00F43C58">
        <w:rPr>
          <w:color w:val="212121"/>
          <w:lang w:val="lv-LV"/>
        </w:rPr>
        <w:t xml:space="preserve"> </w:t>
      </w:r>
      <w:r w:rsidR="006B20A2" w:rsidRPr="00F43C58">
        <w:rPr>
          <w:b/>
          <w:color w:val="212121"/>
          <w:lang w:val="lv-LV"/>
        </w:rPr>
        <w:t>ir vāj</w:t>
      </w:r>
      <w:r>
        <w:rPr>
          <w:b/>
          <w:color w:val="212121"/>
          <w:lang w:val="lv-LV"/>
        </w:rPr>
        <w:t>āka</w:t>
      </w:r>
      <w:r w:rsidR="006B20A2" w:rsidRPr="00F43C58">
        <w:rPr>
          <w:b/>
          <w:color w:val="212121"/>
          <w:lang w:val="lv-LV"/>
        </w:rPr>
        <w:t xml:space="preserve"> </w:t>
      </w:r>
      <w:r>
        <w:rPr>
          <w:b/>
          <w:color w:val="212121"/>
          <w:lang w:val="lv-LV"/>
        </w:rPr>
        <w:t>kā tā varētu būt</w:t>
      </w:r>
      <w:r w:rsidR="00AA26F6">
        <w:rPr>
          <w:b/>
          <w:color w:val="212121"/>
          <w:lang w:val="lv-LV"/>
        </w:rPr>
        <w:t>,</w:t>
      </w:r>
      <w:r>
        <w:rPr>
          <w:b/>
          <w:color w:val="212121"/>
          <w:lang w:val="lv-LV"/>
        </w:rPr>
        <w:t xml:space="preserve"> </w:t>
      </w:r>
      <w:r w:rsidR="006B20A2" w:rsidRPr="00F43C58">
        <w:rPr>
          <w:b/>
          <w:color w:val="212121"/>
          <w:lang w:val="lv-LV"/>
        </w:rPr>
        <w:t>un</w:t>
      </w:r>
      <w:r>
        <w:rPr>
          <w:b/>
          <w:color w:val="212121"/>
          <w:lang w:val="lv-LV"/>
        </w:rPr>
        <w:t xml:space="preserve"> kopējā</w:t>
      </w:r>
      <w:r w:rsidR="006B20A2" w:rsidRPr="00F43C58">
        <w:rPr>
          <w:b/>
          <w:color w:val="212121"/>
          <w:lang w:val="lv-LV"/>
        </w:rPr>
        <w:t xml:space="preserve"> pilsoniskā līdzdalība ir </w:t>
      </w:r>
      <w:r w:rsidR="00B4326F">
        <w:rPr>
          <w:b/>
          <w:color w:val="212121"/>
          <w:lang w:val="lv-LV"/>
        </w:rPr>
        <w:t>gana</w:t>
      </w:r>
      <w:r>
        <w:rPr>
          <w:b/>
          <w:color w:val="212121"/>
          <w:lang w:val="lv-LV"/>
        </w:rPr>
        <w:t xml:space="preserve"> pasīva (</w:t>
      </w:r>
      <w:r w:rsidR="006B20A2" w:rsidRPr="00F43C58">
        <w:rPr>
          <w:b/>
          <w:color w:val="212121"/>
          <w:lang w:val="lv-LV"/>
        </w:rPr>
        <w:t>tai skaitā</w:t>
      </w:r>
      <w:r>
        <w:rPr>
          <w:b/>
          <w:color w:val="212121"/>
          <w:lang w:val="lv-LV"/>
        </w:rPr>
        <w:t xml:space="preserve"> ir</w:t>
      </w:r>
      <w:r w:rsidR="006B20A2" w:rsidRPr="00F43C58">
        <w:rPr>
          <w:b/>
          <w:color w:val="212121"/>
          <w:lang w:val="lv-LV"/>
        </w:rPr>
        <w:t xml:space="preserve"> </w:t>
      </w:r>
      <w:r w:rsidRPr="00F43C58">
        <w:rPr>
          <w:b/>
          <w:color w:val="212121"/>
          <w:lang w:val="lv-LV"/>
        </w:rPr>
        <w:t>zem</w:t>
      </w:r>
      <w:r>
        <w:rPr>
          <w:b/>
          <w:color w:val="212121"/>
          <w:lang w:val="lv-LV"/>
        </w:rPr>
        <w:t>a</w:t>
      </w:r>
      <w:r w:rsidRPr="00F43C58">
        <w:rPr>
          <w:b/>
          <w:color w:val="212121"/>
          <w:lang w:val="lv-LV"/>
        </w:rPr>
        <w:t xml:space="preserve"> </w:t>
      </w:r>
      <w:r w:rsidR="006B20A2" w:rsidRPr="00F43C58">
        <w:rPr>
          <w:b/>
          <w:color w:val="212121"/>
          <w:lang w:val="lv-LV"/>
        </w:rPr>
        <w:t>nacionālo minoritāšu pilsoniskā aktivitāte</w:t>
      </w:r>
      <w:r>
        <w:rPr>
          <w:b/>
          <w:color w:val="212121"/>
          <w:lang w:val="lv-LV"/>
        </w:rPr>
        <w:t>)</w:t>
      </w:r>
      <w:r w:rsidR="006B20A2" w:rsidRPr="00F43C58">
        <w:rPr>
          <w:color w:val="212121"/>
          <w:lang w:val="lv-LV"/>
        </w:rPr>
        <w:t>. Sabiedrība</w:t>
      </w:r>
      <w:r>
        <w:rPr>
          <w:color w:val="212121"/>
          <w:lang w:val="lv-LV"/>
        </w:rPr>
        <w:t xml:space="preserve"> kopumā</w:t>
      </w:r>
      <w:r w:rsidR="006B20A2" w:rsidRPr="00F43C58">
        <w:rPr>
          <w:color w:val="212121"/>
          <w:lang w:val="lv-LV"/>
        </w:rPr>
        <w:t xml:space="preserve"> ir </w:t>
      </w:r>
      <w:r>
        <w:rPr>
          <w:color w:val="212121"/>
          <w:lang w:val="lv-LV"/>
        </w:rPr>
        <w:t>nepietiekami</w:t>
      </w:r>
      <w:r w:rsidR="006B20A2" w:rsidRPr="00F43C58">
        <w:rPr>
          <w:color w:val="212121"/>
          <w:lang w:val="lv-LV"/>
        </w:rPr>
        <w:t xml:space="preserve"> motivēta aktīv</w:t>
      </w:r>
      <w:r>
        <w:rPr>
          <w:color w:val="212121"/>
          <w:lang w:val="lv-LV"/>
        </w:rPr>
        <w:t>ai līdzdalībai</w:t>
      </w:r>
      <w:r w:rsidR="006B20A2" w:rsidRPr="00F43C58">
        <w:rPr>
          <w:color w:val="212121"/>
          <w:lang w:val="lv-LV"/>
        </w:rPr>
        <w:t xml:space="preserve"> pilson</w:t>
      </w:r>
      <w:r>
        <w:rPr>
          <w:color w:val="212121"/>
          <w:lang w:val="lv-LV"/>
        </w:rPr>
        <w:t xml:space="preserve">iskās un politiskās aktivitātēs, turklāt daļai sabiedrības joprojām ir bailes izrādīt interesi un būt iesaistītai, censties ietekmēt </w:t>
      </w:r>
      <w:r w:rsidRPr="00F43C58">
        <w:rPr>
          <w:color w:val="212121"/>
          <w:lang w:val="lv-LV"/>
        </w:rPr>
        <w:t>lēmumu pieņemšanas procesus</w:t>
      </w:r>
      <w:r w:rsidR="004B0BD8">
        <w:rPr>
          <w:color w:val="212121"/>
          <w:lang w:val="lv-LV"/>
        </w:rPr>
        <w:t>.</w:t>
      </w:r>
    </w:p>
    <w:p w14:paraId="13C2DDBC" w14:textId="0F1B96D3" w:rsidR="00560462" w:rsidRPr="002F52E0" w:rsidRDefault="002F52E0" w:rsidP="00560462">
      <w:pPr>
        <w:spacing w:before="240" w:after="120" w:line="240" w:lineRule="auto"/>
        <w:jc w:val="both"/>
        <w:rPr>
          <w:color w:val="212121"/>
          <w:lang w:val="lv-LV"/>
        </w:rPr>
      </w:pPr>
      <w:r w:rsidRPr="002F52E0">
        <w:rPr>
          <w:color w:val="212121"/>
          <w:lang w:val="lv-LV"/>
        </w:rPr>
        <w:t xml:space="preserve">Savukārt  tiem iedzīvotājiem un pilsoniskās sabiedrības organizācijām, kas jau ir pilsoniski aktīvas un iesaistās lēmumu pieņemšanas procesos vai vēlas to sākt darīt, nereti trūkst specifisku zināšanu vai resursu savam darbam un plašākas sabiedrības </w:t>
      </w:r>
      <w:r w:rsidR="006D459E">
        <w:rPr>
          <w:color w:val="212121"/>
          <w:lang w:val="lv-LV"/>
        </w:rPr>
        <w:t>uzmanības pievēršanai</w:t>
      </w:r>
      <w:r w:rsidRPr="002F52E0">
        <w:rPr>
          <w:color w:val="212121"/>
          <w:lang w:val="lv-LV"/>
        </w:rPr>
        <w:t xml:space="preserve"> problēmjautājumiem. </w:t>
      </w:r>
      <w:r w:rsidR="006D459E">
        <w:rPr>
          <w:color w:val="212121"/>
          <w:lang w:val="lv-LV"/>
        </w:rPr>
        <w:t>Turklāt</w:t>
      </w:r>
      <w:r w:rsidR="00E60BF0">
        <w:rPr>
          <w:color w:val="212121"/>
          <w:lang w:val="lv-LV"/>
        </w:rPr>
        <w:t>,</w:t>
      </w:r>
      <w:r w:rsidR="006D459E">
        <w:rPr>
          <w:color w:val="212121"/>
          <w:lang w:val="lv-LV"/>
        </w:rPr>
        <w:t xml:space="preserve"> m</w:t>
      </w:r>
      <w:r w:rsidR="00560462" w:rsidRPr="002F52E0">
        <w:rPr>
          <w:color w:val="212121"/>
          <w:lang w:val="lv-LV"/>
        </w:rPr>
        <w:t xml:space="preserve">ūsdienu </w:t>
      </w:r>
      <w:r w:rsidRPr="002F52E0">
        <w:rPr>
          <w:color w:val="212121"/>
          <w:lang w:val="lv-LV"/>
        </w:rPr>
        <w:t>straujā</w:t>
      </w:r>
      <w:r w:rsidR="00560462" w:rsidRPr="002F52E0">
        <w:rPr>
          <w:color w:val="212121"/>
          <w:lang w:val="lv-LV"/>
        </w:rPr>
        <w:t xml:space="preserve"> informācijas aprite un </w:t>
      </w:r>
      <w:r w:rsidRPr="002F52E0">
        <w:rPr>
          <w:color w:val="212121"/>
          <w:lang w:val="lv-LV"/>
        </w:rPr>
        <w:t xml:space="preserve">nepārtrauktas pārmaiņas </w:t>
      </w:r>
      <w:r w:rsidR="00560462" w:rsidRPr="002F52E0">
        <w:rPr>
          <w:color w:val="212121"/>
          <w:lang w:val="lv-LV"/>
        </w:rPr>
        <w:t xml:space="preserve">prasa arī no interešu aizstāvjiem spēju strādāt ne tikai ilgtermiņā, bet arī </w:t>
      </w:r>
      <w:r w:rsidRPr="002F52E0">
        <w:rPr>
          <w:color w:val="212121"/>
          <w:lang w:val="lv-LV"/>
        </w:rPr>
        <w:t>prasmi</w:t>
      </w:r>
      <w:r w:rsidR="00560462" w:rsidRPr="002F52E0">
        <w:rPr>
          <w:color w:val="212121"/>
          <w:lang w:val="lv-LV"/>
        </w:rPr>
        <w:t xml:space="preserve"> ātri re</w:t>
      </w:r>
      <w:r w:rsidR="006D459E">
        <w:rPr>
          <w:color w:val="212121"/>
          <w:lang w:val="lv-LV"/>
        </w:rPr>
        <w:t>a</w:t>
      </w:r>
      <w:r w:rsidR="00560462" w:rsidRPr="002F52E0">
        <w:rPr>
          <w:color w:val="212121"/>
          <w:lang w:val="lv-LV"/>
        </w:rPr>
        <w:t xml:space="preserve">ģēt un izmantot interaktīvus, mūsdienīgus izpausmes veidus, lai ieinteresētu un pievērstu sabiedrības uzmanību </w:t>
      </w:r>
      <w:r w:rsidRPr="002F52E0">
        <w:rPr>
          <w:color w:val="212121"/>
          <w:lang w:val="lv-LV"/>
        </w:rPr>
        <w:t>publisku/privātu lēmumu pieņemšanai</w:t>
      </w:r>
      <w:r w:rsidR="00560462" w:rsidRPr="002F52E0">
        <w:rPr>
          <w:color w:val="212121"/>
          <w:lang w:val="lv-LV"/>
        </w:rPr>
        <w:t xml:space="preserve">.  Ir nepieciešams radīt atbalstošus apstākļus </w:t>
      </w:r>
      <w:r w:rsidRPr="002F52E0">
        <w:rPr>
          <w:color w:val="212121"/>
          <w:lang w:val="lv-LV"/>
        </w:rPr>
        <w:t>iedzīvotāju</w:t>
      </w:r>
      <w:r w:rsidR="00560462" w:rsidRPr="002F52E0">
        <w:rPr>
          <w:color w:val="212121"/>
          <w:lang w:val="lv-LV"/>
        </w:rPr>
        <w:t>/</w:t>
      </w:r>
      <w:r w:rsidRPr="002F52E0">
        <w:rPr>
          <w:color w:val="212121"/>
          <w:lang w:val="lv-LV"/>
        </w:rPr>
        <w:t>NVO</w:t>
      </w:r>
      <w:r w:rsidR="00560462" w:rsidRPr="002F52E0">
        <w:rPr>
          <w:color w:val="212121"/>
          <w:lang w:val="lv-LV"/>
        </w:rPr>
        <w:t xml:space="preserve"> straujai reaģēšanai </w:t>
      </w:r>
      <w:r w:rsidR="00560462" w:rsidRPr="002F52E0">
        <w:rPr>
          <w:color w:val="212121"/>
          <w:lang w:val="lv-LV"/>
        </w:rPr>
        <w:lastRenderedPageBreak/>
        <w:t>netradicionālās formās (akcijās, kampaņās)</w:t>
      </w:r>
      <w:r w:rsidR="00E60BF0">
        <w:rPr>
          <w:color w:val="212121"/>
          <w:lang w:val="lv-LV"/>
        </w:rPr>
        <w:t>, lai pievērstu</w:t>
      </w:r>
      <w:r w:rsidR="00560462" w:rsidRPr="002F52E0">
        <w:rPr>
          <w:color w:val="212121"/>
          <w:lang w:val="lv-LV"/>
        </w:rPr>
        <w:t xml:space="preserve"> sabiedrības </w:t>
      </w:r>
      <w:r w:rsidR="00E60BF0" w:rsidRPr="002F52E0">
        <w:rPr>
          <w:color w:val="212121"/>
          <w:lang w:val="lv-LV"/>
        </w:rPr>
        <w:t>uzmanīb</w:t>
      </w:r>
      <w:r w:rsidR="00E60BF0">
        <w:rPr>
          <w:color w:val="212121"/>
          <w:lang w:val="lv-LV"/>
        </w:rPr>
        <w:t>u</w:t>
      </w:r>
      <w:r w:rsidR="00E60BF0" w:rsidRPr="002F52E0">
        <w:rPr>
          <w:color w:val="212121"/>
          <w:lang w:val="lv-LV"/>
        </w:rPr>
        <w:t xml:space="preserve"> </w:t>
      </w:r>
      <w:r w:rsidR="00560462" w:rsidRPr="002F52E0">
        <w:rPr>
          <w:color w:val="212121"/>
          <w:lang w:val="lv-LV"/>
        </w:rPr>
        <w:t>politiskās dienaskārtības procesiem.</w:t>
      </w:r>
    </w:p>
    <w:p w14:paraId="35C134FD" w14:textId="5065E005" w:rsidR="00753099" w:rsidRDefault="00562BC3" w:rsidP="00753099">
      <w:pPr>
        <w:spacing w:before="240" w:after="120" w:line="240" w:lineRule="auto"/>
        <w:jc w:val="both"/>
        <w:rPr>
          <w:color w:val="212121"/>
          <w:lang w:val="lv-LV"/>
        </w:rPr>
      </w:pPr>
      <w:r w:rsidRPr="00F43C58">
        <w:rPr>
          <w:color w:val="212121"/>
          <w:lang w:val="lv-LV"/>
        </w:rPr>
        <w:t xml:space="preserve">Uzticēšanās krīze ir saistīta arī ar informācijas trūkumu par NVO darbību, </w:t>
      </w:r>
      <w:r w:rsidR="00E60BF0">
        <w:rPr>
          <w:color w:val="212121"/>
          <w:lang w:val="lv-LV"/>
        </w:rPr>
        <w:t>t</w:t>
      </w:r>
      <w:r w:rsidR="00E8775B">
        <w:rPr>
          <w:color w:val="212121"/>
          <w:lang w:val="lv-LV"/>
        </w:rPr>
        <w:t>o darba</w:t>
      </w:r>
      <w:r w:rsidR="00E60BF0" w:rsidRPr="00F43C58">
        <w:rPr>
          <w:color w:val="212121"/>
          <w:lang w:val="lv-LV"/>
        </w:rPr>
        <w:t xml:space="preserve"> </w:t>
      </w:r>
      <w:r w:rsidRPr="00F43C58">
        <w:rPr>
          <w:color w:val="212121"/>
          <w:lang w:val="lv-LV"/>
        </w:rPr>
        <w:t xml:space="preserve">nozīmi un valsts pārvaldes procesiem kopumā. Zema politiskā un pilsoniskā interese, kā arī kritiskās domāšanas un pilsonisko prasmju trūkums rada pozitīvus apstākļus populisma attīstībai Latvijā. </w:t>
      </w:r>
      <w:r w:rsidR="00753099">
        <w:rPr>
          <w:color w:val="212121"/>
          <w:lang w:val="lv-LV"/>
        </w:rPr>
        <w:t>Šo aspektu novēršana</w:t>
      </w:r>
      <w:r w:rsidRPr="00F43C58">
        <w:rPr>
          <w:color w:val="212121"/>
          <w:lang w:val="lv-LV"/>
        </w:rPr>
        <w:t xml:space="preserve"> ir svarīga nacionālās drošības </w:t>
      </w:r>
      <w:r w:rsidR="00753099">
        <w:rPr>
          <w:color w:val="212121"/>
          <w:lang w:val="lv-LV"/>
        </w:rPr>
        <w:t>kontekstā</w:t>
      </w:r>
      <w:r w:rsidRPr="00F43C58">
        <w:rPr>
          <w:color w:val="212121"/>
          <w:lang w:val="lv-LV"/>
        </w:rPr>
        <w:t xml:space="preserve">. </w:t>
      </w:r>
      <w:r w:rsidR="00753099">
        <w:rPr>
          <w:color w:val="212121"/>
          <w:lang w:val="lv-LV"/>
        </w:rPr>
        <w:t xml:space="preserve">Ir svarīgi palielināt iedzīvotāju izpratni (ne tikai latviešu, bet arī nacionālo minoritāšu vidū) par </w:t>
      </w:r>
      <w:r w:rsidR="00753099" w:rsidRPr="00F43C58">
        <w:rPr>
          <w:color w:val="212121"/>
          <w:lang w:val="lv-LV"/>
        </w:rPr>
        <w:t>sociāl</w:t>
      </w:r>
      <w:r w:rsidR="00E60BF0">
        <w:rPr>
          <w:color w:val="212121"/>
          <w:lang w:val="lv-LV"/>
        </w:rPr>
        <w:t>aj</w:t>
      </w:r>
      <w:r w:rsidR="00753099" w:rsidRPr="00F43C58">
        <w:rPr>
          <w:color w:val="212121"/>
          <w:lang w:val="lv-LV"/>
        </w:rPr>
        <w:t>iem, politisk</w:t>
      </w:r>
      <w:r w:rsidR="00E60BF0">
        <w:rPr>
          <w:color w:val="212121"/>
          <w:lang w:val="lv-LV"/>
        </w:rPr>
        <w:t>aj</w:t>
      </w:r>
      <w:r w:rsidR="00753099" w:rsidRPr="00F43C58">
        <w:rPr>
          <w:color w:val="212121"/>
          <w:lang w:val="lv-LV"/>
        </w:rPr>
        <w:t xml:space="preserve">iem procesiem un līdzdalības iespējām. Īpaši svarīgi ir ne tikai sniegt informāciju, bet arī sniegt šo informāciju saprotamā veidā gan Latvijas iedzīvotājiem, gan nacionālajām minoritātēm, kas kā ikdienas saziņas valodu </w:t>
      </w:r>
      <w:r w:rsidR="00E60BF0">
        <w:rPr>
          <w:color w:val="212121"/>
          <w:lang w:val="lv-LV"/>
        </w:rPr>
        <w:t>lieto</w:t>
      </w:r>
      <w:r w:rsidR="00E60BF0" w:rsidRPr="00F43C58">
        <w:rPr>
          <w:color w:val="212121"/>
          <w:lang w:val="lv-LV"/>
        </w:rPr>
        <w:t xml:space="preserve"> </w:t>
      </w:r>
      <w:r w:rsidR="00753099" w:rsidRPr="00F43C58">
        <w:rPr>
          <w:color w:val="212121"/>
          <w:lang w:val="lv-LV"/>
        </w:rPr>
        <w:t>krievu valodu.</w:t>
      </w:r>
    </w:p>
    <w:p w14:paraId="501A9085" w14:textId="6F501048" w:rsidR="00562BC3" w:rsidRDefault="00562BC3" w:rsidP="003834AF">
      <w:pPr>
        <w:spacing w:before="240" w:after="120" w:line="240" w:lineRule="auto"/>
        <w:jc w:val="both"/>
        <w:rPr>
          <w:color w:val="212121"/>
          <w:lang w:val="lv-LV"/>
        </w:rPr>
      </w:pPr>
      <w:r w:rsidRPr="00F43C58">
        <w:rPr>
          <w:b/>
          <w:color w:val="212121"/>
          <w:lang w:val="lv-LV"/>
        </w:rPr>
        <w:t>Latvijā pastāv liela neiecietība pret atšķirīgo, padarot daudzas sabiedrības grupas par mazaizsargātām grupām</w:t>
      </w:r>
      <w:r w:rsidRPr="00F43C58">
        <w:rPr>
          <w:color w:val="212121"/>
          <w:lang w:val="lv-LV"/>
        </w:rPr>
        <w:t xml:space="preserve">. Eirobarometra 437 dati un citi pētījumi </w:t>
      </w:r>
      <w:r w:rsidRPr="00F43C58">
        <w:rPr>
          <w:b/>
          <w:color w:val="212121"/>
          <w:lang w:val="lv-LV"/>
        </w:rPr>
        <w:t>apstiprina, ka diskriminācija Latvijā balstās uz ādas krāsu vai etnisko izcelsmi, izskatu, dzimuma identitāti, seksuālo orientāciju un reliģisko pārliecību</w:t>
      </w:r>
      <w:r w:rsidRPr="00F43C58">
        <w:rPr>
          <w:color w:val="212121"/>
          <w:lang w:val="lv-LV"/>
        </w:rPr>
        <w:t xml:space="preserve">. Statistika arī rāda, ka lauku apvidos dzīvojošie cilvēki visvairāk pakļauti nabadzības un sociālās, pilsoniskās un politiskās darbības atstumtības riskam, kas vēl vairāk </w:t>
      </w:r>
      <w:r w:rsidR="005B3312">
        <w:rPr>
          <w:color w:val="212121"/>
          <w:lang w:val="lv-LV"/>
        </w:rPr>
        <w:t>nostiprina</w:t>
      </w:r>
      <w:r w:rsidRPr="00F43C58">
        <w:rPr>
          <w:color w:val="212121"/>
          <w:lang w:val="lv-LV"/>
        </w:rPr>
        <w:t xml:space="preserve"> viņu</w:t>
      </w:r>
      <w:r w:rsidR="005B3312">
        <w:rPr>
          <w:color w:val="212121"/>
          <w:lang w:val="lv-LV"/>
        </w:rPr>
        <w:t xml:space="preserve"> iekļaušanos</w:t>
      </w:r>
      <w:r w:rsidRPr="00F43C58">
        <w:rPr>
          <w:color w:val="212121"/>
          <w:lang w:val="lv-LV"/>
        </w:rPr>
        <w:t xml:space="preserve"> </w:t>
      </w:r>
      <w:r w:rsidR="005B3312">
        <w:rPr>
          <w:color w:val="212121"/>
          <w:lang w:val="lv-LV"/>
        </w:rPr>
        <w:t>mazaizsargātas grupas pārstāvju statusā</w:t>
      </w:r>
      <w:r w:rsidRPr="00F43C58">
        <w:rPr>
          <w:color w:val="212121"/>
          <w:lang w:val="lv-LV"/>
        </w:rPr>
        <w:t xml:space="preserve">. Tādēļ ir jāpalielina sabiedrības </w:t>
      </w:r>
      <w:r w:rsidR="005B3312">
        <w:rPr>
          <w:color w:val="212121"/>
          <w:lang w:val="lv-LV"/>
        </w:rPr>
        <w:t xml:space="preserve">iesaiste mazaizsargāto grupu spējināšanā, </w:t>
      </w:r>
      <w:r w:rsidR="00054FCF">
        <w:rPr>
          <w:color w:val="212121"/>
          <w:lang w:val="lv-LV"/>
        </w:rPr>
        <w:t>jāpievērš uzmanība tolerences</w:t>
      </w:r>
      <w:r w:rsidRPr="00F43C58">
        <w:rPr>
          <w:color w:val="212121"/>
          <w:lang w:val="lv-LV"/>
        </w:rPr>
        <w:t>, cilvēktiesību un sociāl</w:t>
      </w:r>
      <w:r w:rsidR="00E60BF0">
        <w:rPr>
          <w:color w:val="212121"/>
          <w:lang w:val="lv-LV"/>
        </w:rPr>
        <w:t>ā</w:t>
      </w:r>
      <w:r w:rsidRPr="00F43C58">
        <w:rPr>
          <w:color w:val="212121"/>
          <w:lang w:val="lv-LV"/>
        </w:rPr>
        <w:t xml:space="preserve"> taisnīgum</w:t>
      </w:r>
      <w:r w:rsidR="00054FCF">
        <w:rPr>
          <w:color w:val="212121"/>
          <w:lang w:val="lv-LV"/>
        </w:rPr>
        <w:t>a principu ievērošanai un veicināšanai</w:t>
      </w:r>
      <w:r w:rsidRPr="00F43C58">
        <w:rPr>
          <w:color w:val="212121"/>
          <w:lang w:val="lv-LV"/>
        </w:rPr>
        <w:t>.</w:t>
      </w:r>
      <w:r w:rsidRPr="00F43C58">
        <w:rPr>
          <w:lang w:val="lv-LV"/>
        </w:rPr>
        <w:t xml:space="preserve"> </w:t>
      </w:r>
      <w:r w:rsidRPr="00F43C58">
        <w:rPr>
          <w:color w:val="212121"/>
          <w:lang w:val="lv-LV"/>
        </w:rPr>
        <w:t>Turklāt</w:t>
      </w:r>
      <w:r w:rsidR="00054FCF">
        <w:rPr>
          <w:color w:val="212121"/>
          <w:lang w:val="lv-LV"/>
        </w:rPr>
        <w:t xml:space="preserve"> situācija Latvijā, kad iedzīvotāji </w:t>
      </w:r>
      <w:r w:rsidRPr="00F43C58">
        <w:rPr>
          <w:color w:val="212121"/>
          <w:lang w:val="lv-LV"/>
        </w:rPr>
        <w:t>ir pakļaut</w:t>
      </w:r>
      <w:r w:rsidR="00054FCF">
        <w:rPr>
          <w:color w:val="212121"/>
          <w:lang w:val="lv-LV"/>
        </w:rPr>
        <w:t>i</w:t>
      </w:r>
      <w:r w:rsidRPr="00F43C58">
        <w:rPr>
          <w:color w:val="212121"/>
          <w:lang w:val="lv-LV"/>
        </w:rPr>
        <w:t xml:space="preserve"> disk</w:t>
      </w:r>
      <w:r w:rsidR="00054FCF">
        <w:rPr>
          <w:color w:val="212121"/>
          <w:lang w:val="lv-LV"/>
        </w:rPr>
        <w:t xml:space="preserve">riminācijas, </w:t>
      </w:r>
      <w:r w:rsidRPr="00F43C58">
        <w:rPr>
          <w:color w:val="212121"/>
          <w:lang w:val="lv-LV"/>
        </w:rPr>
        <w:t>nabadzība</w:t>
      </w:r>
      <w:r w:rsidR="00054FCF">
        <w:rPr>
          <w:color w:val="212121"/>
          <w:lang w:val="lv-LV"/>
        </w:rPr>
        <w:t>s, sociālo, pilsonisko un politisko procesu neiesaistes un atstumtības riskam</w:t>
      </w:r>
      <w:r w:rsidRPr="00F43C58">
        <w:rPr>
          <w:color w:val="212121"/>
          <w:lang w:val="lv-LV"/>
        </w:rPr>
        <w:t>, ir arī</w:t>
      </w:r>
      <w:r w:rsidR="00054FCF">
        <w:rPr>
          <w:color w:val="212121"/>
          <w:lang w:val="lv-LV"/>
        </w:rPr>
        <w:t xml:space="preserve"> tieši</w:t>
      </w:r>
      <w:r w:rsidRPr="00F43C58">
        <w:rPr>
          <w:color w:val="212121"/>
          <w:lang w:val="lv-LV"/>
        </w:rPr>
        <w:t xml:space="preserve"> </w:t>
      </w:r>
      <w:r w:rsidR="00054FCF">
        <w:rPr>
          <w:color w:val="212121"/>
          <w:lang w:val="lv-LV"/>
        </w:rPr>
        <w:t>saistīta ar</w:t>
      </w:r>
      <w:r w:rsidRPr="00F43C58">
        <w:rPr>
          <w:color w:val="212121"/>
          <w:lang w:val="lv-LV"/>
        </w:rPr>
        <w:t xml:space="preserve"> </w:t>
      </w:r>
      <w:r w:rsidR="00054FCF">
        <w:rPr>
          <w:b/>
          <w:color w:val="212121"/>
          <w:lang w:val="lv-LV"/>
        </w:rPr>
        <w:t xml:space="preserve">cilvēka drošumspēju un tās palielināšanas nepieciešamību Latvijā. </w:t>
      </w:r>
      <w:r w:rsidR="00054FCF" w:rsidRPr="00054FCF">
        <w:rPr>
          <w:color w:val="212121"/>
          <w:lang w:val="lv-LV"/>
        </w:rPr>
        <w:t>Cilvēka drošumspēja</w:t>
      </w:r>
      <w:r w:rsidRPr="00F43C58">
        <w:rPr>
          <w:color w:val="212121"/>
          <w:lang w:val="lv-LV"/>
        </w:rPr>
        <w:t xml:space="preserve"> ir viena no </w:t>
      </w:r>
      <w:r w:rsidR="00054FCF">
        <w:rPr>
          <w:color w:val="212121"/>
          <w:lang w:val="lv-LV"/>
        </w:rPr>
        <w:t>Latvijas Nacionāl</w:t>
      </w:r>
      <w:r w:rsidR="00054FCF" w:rsidRPr="00F43C58">
        <w:rPr>
          <w:color w:val="212121"/>
          <w:lang w:val="lv-LV"/>
        </w:rPr>
        <w:t>ā attīstības plān</w:t>
      </w:r>
      <w:r w:rsidR="00054FCF">
        <w:rPr>
          <w:color w:val="212121"/>
          <w:lang w:val="lv-LV"/>
        </w:rPr>
        <w:t>a</w:t>
      </w:r>
      <w:r w:rsidR="00054FCF" w:rsidRPr="00F43C58">
        <w:rPr>
          <w:color w:val="212121"/>
          <w:lang w:val="lv-LV"/>
        </w:rPr>
        <w:t xml:space="preserve"> 2014.-2020. gada </w:t>
      </w:r>
      <w:r w:rsidRPr="00F43C58">
        <w:rPr>
          <w:color w:val="212121"/>
          <w:lang w:val="lv-LV"/>
        </w:rPr>
        <w:t>trim prioritātēm, kas noteiktas</w:t>
      </w:r>
      <w:r w:rsidR="00054FCF">
        <w:rPr>
          <w:color w:val="212121"/>
          <w:lang w:val="lv-LV"/>
        </w:rPr>
        <w:t xml:space="preserve"> </w:t>
      </w:r>
      <w:r w:rsidRPr="00F43C58">
        <w:rPr>
          <w:color w:val="212121"/>
          <w:lang w:val="lv-LV"/>
        </w:rPr>
        <w:t xml:space="preserve"> ar mērķi </w:t>
      </w:r>
      <w:r w:rsidR="00054FCF">
        <w:rPr>
          <w:color w:val="212121"/>
          <w:lang w:val="lv-LV"/>
        </w:rPr>
        <w:t>Latviju attīstīt kā</w:t>
      </w:r>
      <w:r w:rsidRPr="00F43C58">
        <w:rPr>
          <w:color w:val="212121"/>
          <w:lang w:val="lv-LV"/>
        </w:rPr>
        <w:t xml:space="preserve"> valsti, kurā ikvie</w:t>
      </w:r>
      <w:r w:rsidR="003B2145" w:rsidRPr="00F43C58">
        <w:rPr>
          <w:color w:val="212121"/>
          <w:lang w:val="lv-LV"/>
        </w:rPr>
        <w:t>nam ir iespējas nodrošināt savu, savas</w:t>
      </w:r>
      <w:r w:rsidRPr="00F43C58">
        <w:rPr>
          <w:color w:val="212121"/>
          <w:lang w:val="lv-LV"/>
        </w:rPr>
        <w:t xml:space="preserve"> ģimenes un nācijas attīstību.</w:t>
      </w:r>
    </w:p>
    <w:p w14:paraId="26272A84" w14:textId="27EDE009" w:rsidR="003B2145" w:rsidRPr="00F43C58" w:rsidRDefault="003B2145" w:rsidP="003834AF">
      <w:pPr>
        <w:spacing w:before="240" w:after="120" w:line="240" w:lineRule="auto"/>
        <w:jc w:val="both"/>
        <w:rPr>
          <w:color w:val="212121"/>
          <w:lang w:val="lv-LV"/>
        </w:rPr>
      </w:pPr>
      <w:r w:rsidRPr="00F43C58">
        <w:rPr>
          <w:color w:val="212121"/>
          <w:lang w:val="lv-LV"/>
        </w:rPr>
        <w:t xml:space="preserve">Viena no </w:t>
      </w:r>
      <w:r w:rsidRPr="00F43C58">
        <w:rPr>
          <w:b/>
          <w:color w:val="212121"/>
          <w:lang w:val="lv-LV"/>
        </w:rPr>
        <w:t>stipras pilsoniskās sabiedrības veiksmes atslēgām ne tikai Latvijā, bet visā reģionā ir spēcīga, cieša un aktīva komunikācija un sadarbība starp valstīm</w:t>
      </w:r>
      <w:r w:rsidRPr="00F43C58">
        <w:rPr>
          <w:color w:val="212121"/>
          <w:lang w:val="lv-LV"/>
        </w:rPr>
        <w:t xml:space="preserve">. </w:t>
      </w:r>
      <w:r w:rsidR="00A96E00">
        <w:rPr>
          <w:color w:val="212121"/>
          <w:lang w:val="lv-LV"/>
        </w:rPr>
        <w:t>Balstoties iepriekšējo EEZ finansē</w:t>
      </w:r>
      <w:r w:rsidR="00031DF3">
        <w:rPr>
          <w:color w:val="212121"/>
          <w:lang w:val="lv-LV"/>
        </w:rPr>
        <w:t>šanas periodu rezultātu analīzes</w:t>
      </w:r>
      <w:r w:rsidR="00A96E00">
        <w:rPr>
          <w:color w:val="212121"/>
          <w:lang w:val="lv-LV"/>
        </w:rPr>
        <w:t>, ir nepieciešama būtiskāka</w:t>
      </w:r>
      <w:r w:rsidRPr="00F43C58">
        <w:rPr>
          <w:color w:val="212121"/>
          <w:lang w:val="lv-LV"/>
        </w:rPr>
        <w:t xml:space="preserve"> </w:t>
      </w:r>
      <w:r w:rsidR="00A96E00">
        <w:rPr>
          <w:color w:val="212121"/>
          <w:lang w:val="lv-LV"/>
        </w:rPr>
        <w:t xml:space="preserve">starpvalstu </w:t>
      </w:r>
      <w:r w:rsidRPr="00F43C58">
        <w:rPr>
          <w:color w:val="212121"/>
          <w:lang w:val="lv-LV"/>
        </w:rPr>
        <w:t xml:space="preserve">pieredzes apmaiņas </w:t>
      </w:r>
      <w:r w:rsidR="00A96E00">
        <w:rPr>
          <w:color w:val="212121"/>
          <w:lang w:val="lv-LV"/>
        </w:rPr>
        <w:t>programmu īstenošana pēc savstarpēja ieguvuma</w:t>
      </w:r>
      <w:r w:rsidRPr="00F43C58">
        <w:rPr>
          <w:color w:val="212121"/>
          <w:lang w:val="lv-LV"/>
        </w:rPr>
        <w:t xml:space="preserve"> principiem, nodrošinot, ka abas</w:t>
      </w:r>
      <w:r w:rsidR="00A96E00">
        <w:rPr>
          <w:color w:val="212121"/>
          <w:lang w:val="lv-LV"/>
        </w:rPr>
        <w:t xml:space="preserve"> iesaistītās</w:t>
      </w:r>
      <w:r w:rsidRPr="00F43C58">
        <w:rPr>
          <w:color w:val="212121"/>
          <w:lang w:val="lv-LV"/>
        </w:rPr>
        <w:t xml:space="preserve"> puses </w:t>
      </w:r>
      <w:r w:rsidR="00A96E00">
        <w:rPr>
          <w:color w:val="212121"/>
          <w:lang w:val="lv-LV"/>
        </w:rPr>
        <w:t>ko iegūst un mācās</w:t>
      </w:r>
      <w:r w:rsidRPr="00F43C58">
        <w:rPr>
          <w:color w:val="212121"/>
          <w:lang w:val="lv-LV"/>
        </w:rPr>
        <w:t xml:space="preserve"> viena no otras. Piemēram, Igaunijai ir labi piemēri </w:t>
      </w:r>
      <w:r w:rsidR="00031DF3">
        <w:rPr>
          <w:color w:val="212121"/>
          <w:lang w:val="lv-LV"/>
        </w:rPr>
        <w:t>atvērtās pārvaldības partnerības</w:t>
      </w:r>
      <w:r w:rsidRPr="00F43C58">
        <w:rPr>
          <w:color w:val="212121"/>
          <w:lang w:val="lv-LV"/>
        </w:rPr>
        <w:t xml:space="preserve"> un tiešsaistes </w:t>
      </w:r>
      <w:r w:rsidR="00A96E00">
        <w:rPr>
          <w:color w:val="212121"/>
          <w:lang w:val="lv-LV"/>
        </w:rPr>
        <w:t>līdzdalības iesaistes rīkos, tajā pašā laikā Igaunijas</w:t>
      </w:r>
      <w:r w:rsidRPr="00F43C58">
        <w:rPr>
          <w:color w:val="212121"/>
          <w:lang w:val="lv-LV"/>
        </w:rPr>
        <w:t xml:space="preserve"> NVO </w:t>
      </w:r>
      <w:r w:rsidR="00A96E00">
        <w:rPr>
          <w:color w:val="212121"/>
          <w:lang w:val="lv-LV"/>
        </w:rPr>
        <w:t xml:space="preserve">izaicinājums ir </w:t>
      </w:r>
      <w:r w:rsidRPr="00F43C58">
        <w:rPr>
          <w:color w:val="212121"/>
          <w:lang w:val="lv-LV"/>
        </w:rPr>
        <w:t>biedru piesaist</w:t>
      </w:r>
      <w:r w:rsidR="00A96E00">
        <w:rPr>
          <w:color w:val="212121"/>
          <w:lang w:val="lv-LV"/>
        </w:rPr>
        <w:t>e</w:t>
      </w:r>
      <w:r w:rsidRPr="00F43C58">
        <w:rPr>
          <w:color w:val="212121"/>
          <w:lang w:val="lv-LV"/>
        </w:rPr>
        <w:t xml:space="preserve">, </w:t>
      </w:r>
      <w:r w:rsidR="00A96E00">
        <w:rPr>
          <w:color w:val="212121"/>
          <w:lang w:val="lv-LV"/>
        </w:rPr>
        <w:t>kur</w:t>
      </w:r>
      <w:r w:rsidRPr="00F43C58">
        <w:rPr>
          <w:color w:val="212121"/>
          <w:lang w:val="lv-LV"/>
        </w:rPr>
        <w:t xml:space="preserve"> Latvi</w:t>
      </w:r>
      <w:r w:rsidR="00A96E00">
        <w:rPr>
          <w:color w:val="212121"/>
          <w:lang w:val="lv-LV"/>
        </w:rPr>
        <w:t>jas NVO ir labās prakses piemēri, ar kuriem dalīties.</w:t>
      </w:r>
    </w:p>
    <w:p w14:paraId="4796C885" w14:textId="77777777" w:rsidR="003B2145" w:rsidRDefault="003D1D4A" w:rsidP="003834AF">
      <w:pPr>
        <w:spacing w:before="240" w:after="120" w:line="240" w:lineRule="auto"/>
        <w:jc w:val="both"/>
        <w:rPr>
          <w:b/>
          <w:color w:val="212121"/>
          <w:lang w:val="lv-LV"/>
        </w:rPr>
      </w:pPr>
      <w:r>
        <w:rPr>
          <w:b/>
          <w:color w:val="212121"/>
          <w:lang w:val="lv-LV"/>
        </w:rPr>
        <w:t>Konsultāciju procesā iesaistītajām</w:t>
      </w:r>
      <w:r w:rsidR="003B2145" w:rsidRPr="00F43C58">
        <w:rPr>
          <w:b/>
          <w:color w:val="212121"/>
          <w:lang w:val="lv-LV"/>
        </w:rPr>
        <w:t xml:space="preserve"> pusēm jāņem vērā </w:t>
      </w:r>
      <w:r>
        <w:rPr>
          <w:b/>
          <w:color w:val="212121"/>
          <w:lang w:val="lv-LV"/>
        </w:rPr>
        <w:t xml:space="preserve">viss </w:t>
      </w:r>
      <w:r w:rsidR="003B2145" w:rsidRPr="00F43C58">
        <w:rPr>
          <w:b/>
          <w:color w:val="212121"/>
          <w:lang w:val="lv-LV"/>
        </w:rPr>
        <w:t xml:space="preserve">iepriekš minētais. Konkrēti izaicinājumi, kas jārisina, un galvenās mērķa grupas saskaņā ar </w:t>
      </w:r>
      <w:r>
        <w:rPr>
          <w:b/>
          <w:color w:val="212121"/>
          <w:lang w:val="lv-LV"/>
        </w:rPr>
        <w:t>plānotajiem</w:t>
      </w:r>
      <w:r w:rsidR="003B2145" w:rsidRPr="00F43C58">
        <w:rPr>
          <w:b/>
          <w:color w:val="212121"/>
          <w:lang w:val="lv-LV"/>
        </w:rPr>
        <w:t xml:space="preserve"> rezultātiem ir </w:t>
      </w:r>
      <w:r>
        <w:rPr>
          <w:b/>
          <w:color w:val="212121"/>
          <w:lang w:val="lv-LV"/>
        </w:rPr>
        <w:t>aprakstītas</w:t>
      </w:r>
      <w:r w:rsidR="003B2145" w:rsidRPr="00F43C58">
        <w:rPr>
          <w:b/>
          <w:color w:val="212121"/>
          <w:lang w:val="lv-LV"/>
        </w:rPr>
        <w:t xml:space="preserve"> 4.sadaļā. Pilsoniskās sabiedrības </w:t>
      </w:r>
      <w:r>
        <w:rPr>
          <w:b/>
          <w:color w:val="212121"/>
          <w:lang w:val="lv-LV"/>
        </w:rPr>
        <w:t>jomā iesaistītās puses ir aicinātas</w:t>
      </w:r>
      <w:r w:rsidR="0065684C">
        <w:rPr>
          <w:b/>
          <w:color w:val="212121"/>
          <w:lang w:val="lv-LV"/>
        </w:rPr>
        <w:t xml:space="preserve"> klātienes vai tiešsaistes konsultāciju formā</w:t>
      </w:r>
      <w:r>
        <w:rPr>
          <w:b/>
          <w:color w:val="212121"/>
          <w:lang w:val="lv-LV"/>
        </w:rPr>
        <w:t xml:space="preserve"> piedāvāt </w:t>
      </w:r>
      <w:r w:rsidR="0065684C">
        <w:rPr>
          <w:b/>
          <w:color w:val="212121"/>
          <w:lang w:val="lv-LV"/>
        </w:rPr>
        <w:t xml:space="preserve">savus </w:t>
      </w:r>
      <w:r>
        <w:rPr>
          <w:b/>
          <w:color w:val="212121"/>
          <w:lang w:val="lv-LV"/>
        </w:rPr>
        <w:t xml:space="preserve">risinājumus </w:t>
      </w:r>
      <w:r w:rsidR="004A0877">
        <w:rPr>
          <w:b/>
          <w:color w:val="212121"/>
          <w:lang w:val="lv-LV"/>
        </w:rPr>
        <w:t>izaicinājumiem un atbildes uz 5.sadaļā izvirzītajiem problēmjautājumiem</w:t>
      </w:r>
      <w:r>
        <w:rPr>
          <w:b/>
          <w:color w:val="212121"/>
          <w:lang w:val="lv-LV"/>
        </w:rPr>
        <w:t>.</w:t>
      </w:r>
    </w:p>
    <w:p w14:paraId="7E97637D" w14:textId="77777777" w:rsidR="003B281D" w:rsidRPr="00F43C58" w:rsidRDefault="003B2145" w:rsidP="000D6E64">
      <w:pPr>
        <w:pStyle w:val="Heading1"/>
      </w:pPr>
      <w:r w:rsidRPr="00F43C58">
        <w:t>PROGRAMMAS FOKUSS</w:t>
      </w:r>
    </w:p>
    <w:p w14:paraId="10D0B610" w14:textId="77777777" w:rsidR="00EA61EA" w:rsidRPr="00F43C58" w:rsidRDefault="00EA61EA" w:rsidP="00816F89">
      <w:pPr>
        <w:spacing w:after="0" w:line="240" w:lineRule="auto"/>
        <w:jc w:val="both"/>
        <w:rPr>
          <w:i/>
          <w:color w:val="808080"/>
          <w:lang w:val="lv-LV"/>
        </w:rPr>
      </w:pPr>
    </w:p>
    <w:tbl>
      <w:tblPr>
        <w:tblW w:w="559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2550"/>
        <w:gridCol w:w="1560"/>
        <w:gridCol w:w="2552"/>
        <w:gridCol w:w="1985"/>
        <w:gridCol w:w="1132"/>
      </w:tblGrid>
      <w:tr w:rsidR="00CB4D94" w:rsidRPr="00F43C58" w14:paraId="0D9319E8" w14:textId="77777777" w:rsidTr="00630450">
        <w:tc>
          <w:tcPr>
            <w:tcW w:w="274" w:type="pct"/>
            <w:shd w:val="clear" w:color="auto" w:fill="DEEAF6"/>
          </w:tcPr>
          <w:p w14:paraId="31E53CD6" w14:textId="77777777" w:rsidR="00CB4D94" w:rsidRPr="00F43C58" w:rsidRDefault="00CB4D94" w:rsidP="00CB4D94">
            <w:pPr>
              <w:spacing w:after="0" w:line="240" w:lineRule="auto"/>
              <w:jc w:val="both"/>
              <w:rPr>
                <w:lang w:val="lv-LV"/>
              </w:rPr>
            </w:pPr>
          </w:p>
        </w:tc>
        <w:tc>
          <w:tcPr>
            <w:tcW w:w="1232" w:type="pct"/>
            <w:shd w:val="clear" w:color="auto" w:fill="DEEAF6"/>
          </w:tcPr>
          <w:p w14:paraId="425B99FC" w14:textId="77777777" w:rsidR="00CB4D94" w:rsidRPr="00F43C58" w:rsidRDefault="003B2145" w:rsidP="003B2145">
            <w:pPr>
              <w:spacing w:after="0" w:line="240" w:lineRule="auto"/>
              <w:jc w:val="both"/>
              <w:rPr>
                <w:b/>
                <w:lang w:val="lv-LV"/>
              </w:rPr>
            </w:pPr>
            <w:r w:rsidRPr="00F43C58">
              <w:rPr>
                <w:b/>
                <w:lang w:val="lv-LV"/>
              </w:rPr>
              <w:t>Izaicinājums/problēma</w:t>
            </w:r>
          </w:p>
        </w:tc>
        <w:tc>
          <w:tcPr>
            <w:tcW w:w="754" w:type="pct"/>
            <w:shd w:val="clear" w:color="auto" w:fill="DEEAF6"/>
          </w:tcPr>
          <w:p w14:paraId="4F2F33E2" w14:textId="77777777" w:rsidR="00CB4D94" w:rsidRPr="00F43C58" w:rsidRDefault="003B2145" w:rsidP="003B2145">
            <w:pPr>
              <w:spacing w:after="0" w:line="240" w:lineRule="auto"/>
              <w:jc w:val="both"/>
              <w:rPr>
                <w:b/>
                <w:lang w:val="lv-LV"/>
              </w:rPr>
            </w:pPr>
            <w:r w:rsidRPr="00F43C58">
              <w:rPr>
                <w:b/>
                <w:lang w:val="lv-LV"/>
              </w:rPr>
              <w:t xml:space="preserve">Vēlamais rezultāts </w:t>
            </w:r>
          </w:p>
        </w:tc>
        <w:tc>
          <w:tcPr>
            <w:tcW w:w="1233" w:type="pct"/>
            <w:shd w:val="clear" w:color="auto" w:fill="DEEAF6"/>
          </w:tcPr>
          <w:p w14:paraId="60E64F0C" w14:textId="77777777" w:rsidR="00CB4D94" w:rsidRPr="00F43C58" w:rsidRDefault="003B2145" w:rsidP="003B2145">
            <w:pPr>
              <w:spacing w:after="0" w:line="240" w:lineRule="auto"/>
              <w:jc w:val="both"/>
              <w:rPr>
                <w:b/>
                <w:lang w:val="lv-LV"/>
              </w:rPr>
            </w:pPr>
            <w:r w:rsidRPr="00F43C58">
              <w:rPr>
                <w:b/>
                <w:lang w:val="lv-LV"/>
              </w:rPr>
              <w:t xml:space="preserve">Tiešā mērķa grupa </w:t>
            </w:r>
            <w:r w:rsidR="00CB4D94" w:rsidRPr="00F43C58">
              <w:rPr>
                <w:b/>
                <w:lang w:val="lv-LV"/>
              </w:rPr>
              <w:t xml:space="preserve"> (</w:t>
            </w:r>
            <w:r w:rsidRPr="00F43C58">
              <w:rPr>
                <w:b/>
                <w:lang w:val="lv-LV"/>
              </w:rPr>
              <w:t>starpnieki</w:t>
            </w:r>
            <w:r w:rsidR="00CB4D94" w:rsidRPr="00F43C58">
              <w:rPr>
                <w:b/>
                <w:lang w:val="lv-LV"/>
              </w:rPr>
              <w:t>)</w:t>
            </w:r>
          </w:p>
        </w:tc>
        <w:tc>
          <w:tcPr>
            <w:tcW w:w="959" w:type="pct"/>
            <w:shd w:val="clear" w:color="auto" w:fill="DEEAF6"/>
          </w:tcPr>
          <w:p w14:paraId="7E73796A" w14:textId="77777777" w:rsidR="00CB4D94" w:rsidRPr="00F43C58" w:rsidRDefault="003B2145" w:rsidP="00CB4D94">
            <w:pPr>
              <w:spacing w:after="0" w:line="240" w:lineRule="auto"/>
              <w:jc w:val="both"/>
              <w:rPr>
                <w:b/>
                <w:lang w:val="lv-LV"/>
              </w:rPr>
            </w:pPr>
            <w:r w:rsidRPr="00F43C58">
              <w:rPr>
                <w:b/>
                <w:lang w:val="lv-LV"/>
              </w:rPr>
              <w:t>Gala saņēmēji</w:t>
            </w:r>
          </w:p>
        </w:tc>
        <w:tc>
          <w:tcPr>
            <w:tcW w:w="547" w:type="pct"/>
            <w:shd w:val="clear" w:color="auto" w:fill="DEEAF6"/>
            <w:vAlign w:val="center"/>
          </w:tcPr>
          <w:p w14:paraId="2F05D397" w14:textId="77777777" w:rsidR="00CB4D94" w:rsidRPr="00F43C58" w:rsidRDefault="003B2145" w:rsidP="00792667">
            <w:pPr>
              <w:spacing w:after="0" w:line="240" w:lineRule="auto"/>
              <w:contextualSpacing/>
              <w:jc w:val="center"/>
              <w:rPr>
                <w:b/>
                <w:lang w:val="lv-LV"/>
              </w:rPr>
            </w:pPr>
            <w:r w:rsidRPr="00F43C58">
              <w:rPr>
                <w:b/>
                <w:lang w:val="lv-LV"/>
              </w:rPr>
              <w:t>Ieteiktie risinājumi</w:t>
            </w:r>
            <w:r w:rsidR="00CB4D94" w:rsidRPr="00F43C58">
              <w:rPr>
                <w:b/>
                <w:lang w:val="lv-LV"/>
              </w:rPr>
              <w:t xml:space="preserve"> (outputs)</w:t>
            </w:r>
          </w:p>
        </w:tc>
      </w:tr>
      <w:tr w:rsidR="00CB4D94" w:rsidRPr="00F43C58" w14:paraId="7A6B078D" w14:textId="77777777" w:rsidTr="00630450">
        <w:tc>
          <w:tcPr>
            <w:tcW w:w="274" w:type="pct"/>
            <w:shd w:val="clear" w:color="auto" w:fill="F2F2F2"/>
          </w:tcPr>
          <w:p w14:paraId="5F5588C9" w14:textId="77777777" w:rsidR="00CB4D94" w:rsidRPr="00F43C58" w:rsidRDefault="00CB4D94" w:rsidP="00CB4D94">
            <w:pPr>
              <w:spacing w:after="0" w:line="240" w:lineRule="auto"/>
              <w:jc w:val="center"/>
              <w:rPr>
                <w:lang w:val="lv-LV"/>
              </w:rPr>
            </w:pPr>
            <w:r w:rsidRPr="00F43C58">
              <w:rPr>
                <w:lang w:val="lv-LV"/>
              </w:rPr>
              <w:t>1</w:t>
            </w:r>
          </w:p>
        </w:tc>
        <w:tc>
          <w:tcPr>
            <w:tcW w:w="1232" w:type="pct"/>
            <w:shd w:val="clear" w:color="auto" w:fill="auto"/>
          </w:tcPr>
          <w:p w14:paraId="6F6D6700" w14:textId="15C0E4A8" w:rsidR="003D3AB9" w:rsidRPr="00F43C58" w:rsidRDefault="00C10F5A" w:rsidP="00031DF3">
            <w:pPr>
              <w:spacing w:after="0" w:line="240" w:lineRule="auto"/>
              <w:jc w:val="both"/>
              <w:rPr>
                <w:lang w:val="lv-LV"/>
              </w:rPr>
            </w:pPr>
            <w:r w:rsidRPr="000A3FFD">
              <w:rPr>
                <w:lang w:val="lv-LV"/>
              </w:rPr>
              <w:t>Zems</w:t>
            </w:r>
            <w:r>
              <w:rPr>
                <w:lang w:val="lv-LV"/>
              </w:rPr>
              <w:t xml:space="preserve"> </w:t>
            </w:r>
            <w:r w:rsidR="00AD2620">
              <w:rPr>
                <w:lang w:val="lv-LV"/>
              </w:rPr>
              <w:t>uzticības līmenis  (gan cilvēkiem savā starpā, gan attiecībā pret</w:t>
            </w:r>
            <w:r>
              <w:rPr>
                <w:lang w:val="lv-LV"/>
              </w:rPr>
              <w:t xml:space="preserve"> valsts pārvald</w:t>
            </w:r>
            <w:r w:rsidR="00AD2620">
              <w:rPr>
                <w:lang w:val="lv-LV"/>
              </w:rPr>
              <w:t>i)</w:t>
            </w:r>
            <w:r w:rsidRPr="000A3FFD">
              <w:rPr>
                <w:lang w:val="lv-LV"/>
              </w:rPr>
              <w:t xml:space="preserve">, kas saistīts ar zemu pilsonisko un politisko līdzdalību, iesaistīšanos NVO un to aktivitātēs, </w:t>
            </w:r>
            <w:r>
              <w:rPr>
                <w:lang w:val="lv-LV"/>
              </w:rPr>
              <w:t xml:space="preserve">kā arī </w:t>
            </w:r>
            <w:r w:rsidRPr="000A3FFD">
              <w:rPr>
                <w:lang w:val="lv-LV"/>
              </w:rPr>
              <w:t>n</w:t>
            </w:r>
            <w:r>
              <w:rPr>
                <w:lang w:val="lv-LV"/>
              </w:rPr>
              <w:t xml:space="preserve">acionālo minoritāšu </w:t>
            </w:r>
            <w:r w:rsidR="00AD2620">
              <w:rPr>
                <w:lang w:val="lv-LV"/>
              </w:rPr>
              <w:t xml:space="preserve"> </w:t>
            </w:r>
            <w:r w:rsidR="00031DF3">
              <w:rPr>
                <w:lang w:val="lv-LV"/>
              </w:rPr>
              <w:lastRenderedPageBreak/>
              <w:t>neaktīvā</w:t>
            </w:r>
            <w:r w:rsidR="00AD2620">
              <w:rPr>
                <w:lang w:val="lv-LV"/>
              </w:rPr>
              <w:t xml:space="preserve"> </w:t>
            </w:r>
            <w:r>
              <w:rPr>
                <w:lang w:val="lv-LV"/>
              </w:rPr>
              <w:t>iesaist</w:t>
            </w:r>
            <w:r w:rsidR="00AD2620">
              <w:rPr>
                <w:lang w:val="lv-LV"/>
              </w:rPr>
              <w:t>e</w:t>
            </w:r>
            <w:r>
              <w:rPr>
                <w:lang w:val="lv-LV"/>
              </w:rPr>
              <w:t xml:space="preserve"> </w:t>
            </w:r>
            <w:r w:rsidRPr="000A3FFD">
              <w:rPr>
                <w:lang w:val="lv-LV"/>
              </w:rPr>
              <w:t xml:space="preserve"> pilsonisk</w:t>
            </w:r>
            <w:r w:rsidR="00AD2620">
              <w:rPr>
                <w:lang w:val="lv-LV"/>
              </w:rPr>
              <w:t>ajās</w:t>
            </w:r>
            <w:r w:rsidRPr="000A3FFD">
              <w:rPr>
                <w:lang w:val="lv-LV"/>
              </w:rPr>
              <w:t xml:space="preserve"> aktivitātēs</w:t>
            </w:r>
          </w:p>
        </w:tc>
        <w:tc>
          <w:tcPr>
            <w:tcW w:w="754" w:type="pct"/>
            <w:shd w:val="clear" w:color="auto" w:fill="auto"/>
          </w:tcPr>
          <w:p w14:paraId="53155EFD" w14:textId="77777777" w:rsidR="00792667" w:rsidRPr="00F43C58" w:rsidRDefault="00792667" w:rsidP="00792667">
            <w:pPr>
              <w:spacing w:after="0" w:line="240" w:lineRule="auto"/>
              <w:rPr>
                <w:lang w:val="lv-LV"/>
              </w:rPr>
            </w:pPr>
            <w:r w:rsidRPr="00F43C58">
              <w:rPr>
                <w:lang w:val="lv-LV"/>
              </w:rPr>
              <w:lastRenderedPageBreak/>
              <w:t>Palielināta i</w:t>
            </w:r>
            <w:r w:rsidR="00174A73">
              <w:rPr>
                <w:lang w:val="lv-LV"/>
              </w:rPr>
              <w:t>edzīvotāju līdzdalība pilsoniskajā</w:t>
            </w:r>
            <w:r w:rsidRPr="00F43C58">
              <w:rPr>
                <w:lang w:val="lv-LV"/>
              </w:rPr>
              <w:t>s aktivitātēs</w:t>
            </w:r>
          </w:p>
        </w:tc>
        <w:tc>
          <w:tcPr>
            <w:tcW w:w="1233" w:type="pct"/>
            <w:shd w:val="clear" w:color="auto" w:fill="auto"/>
          </w:tcPr>
          <w:p w14:paraId="75E9F0A4" w14:textId="41CAC278" w:rsidR="00CB4D94" w:rsidRPr="00F43C58" w:rsidRDefault="00E8775B" w:rsidP="00792667">
            <w:pPr>
              <w:spacing w:after="0" w:line="240" w:lineRule="auto"/>
              <w:rPr>
                <w:lang w:val="lv-LV"/>
              </w:rPr>
            </w:pPr>
            <w:r>
              <w:rPr>
                <w:lang w:val="lv-LV"/>
              </w:rPr>
              <w:t xml:space="preserve">NVO </w:t>
            </w:r>
            <w:r w:rsidR="00C33BCC">
              <w:rPr>
                <w:lang w:val="lv-LV"/>
              </w:rPr>
              <w:t xml:space="preserve"> kopumā</w:t>
            </w:r>
            <w:r w:rsidR="00CB4D94" w:rsidRPr="00F43C58">
              <w:rPr>
                <w:lang w:val="lv-LV"/>
              </w:rPr>
              <w:t>,</w:t>
            </w:r>
            <w:r w:rsidR="00792667" w:rsidRPr="00F43C58">
              <w:rPr>
                <w:lang w:val="lv-LV"/>
              </w:rPr>
              <w:t xml:space="preserve"> pašvaldību un Saeimas politiķi, publiskās pārvaldes ierēdņi, </w:t>
            </w:r>
            <w:r w:rsidR="00C33BCC">
              <w:rPr>
                <w:lang w:val="lv-LV"/>
              </w:rPr>
              <w:t>lektori, kopienu un mediju pārstāvji</w:t>
            </w:r>
          </w:p>
        </w:tc>
        <w:tc>
          <w:tcPr>
            <w:tcW w:w="959" w:type="pct"/>
            <w:shd w:val="clear" w:color="auto" w:fill="auto"/>
          </w:tcPr>
          <w:p w14:paraId="2AC1B087" w14:textId="77777777" w:rsidR="00CB4D94" w:rsidRPr="00F43C58" w:rsidRDefault="00792667" w:rsidP="00CB4D94">
            <w:pPr>
              <w:spacing w:after="0" w:line="240" w:lineRule="auto"/>
              <w:rPr>
                <w:lang w:val="lv-LV"/>
              </w:rPr>
            </w:pPr>
            <w:r w:rsidRPr="00F43C58">
              <w:rPr>
                <w:lang w:val="lv-LV"/>
              </w:rPr>
              <w:t xml:space="preserve">Visi iedzīvotāji, </w:t>
            </w:r>
            <w:r w:rsidR="00EB664E">
              <w:rPr>
                <w:lang w:val="lv-LV"/>
              </w:rPr>
              <w:t>p</w:t>
            </w:r>
            <w:r w:rsidR="007E2446">
              <w:rPr>
                <w:lang w:val="lv-LV"/>
              </w:rPr>
              <w:t>ilsoniskās sabiedrības organizācijas</w:t>
            </w:r>
            <w:r w:rsidRPr="00F43C58">
              <w:rPr>
                <w:lang w:val="lv-LV"/>
              </w:rPr>
              <w:t>, tai skaitā jaunieši, nacionālās minoritātes, brīvprātīgie un aktīvisti</w:t>
            </w:r>
            <w:r w:rsidR="007E2446">
              <w:rPr>
                <w:lang w:val="lv-LV"/>
              </w:rPr>
              <w:t xml:space="preserve"> </w:t>
            </w:r>
          </w:p>
          <w:p w14:paraId="639DE2B6" w14:textId="77777777" w:rsidR="00CB4D94" w:rsidRPr="00F43C58" w:rsidRDefault="00CB4D94" w:rsidP="00CB4D94">
            <w:pPr>
              <w:spacing w:after="0" w:line="240" w:lineRule="auto"/>
              <w:rPr>
                <w:lang w:val="lv-LV"/>
              </w:rPr>
            </w:pPr>
          </w:p>
          <w:p w14:paraId="3B0F5EBF" w14:textId="77777777" w:rsidR="00CB4D94" w:rsidRPr="00F43C58" w:rsidRDefault="00CB4D94" w:rsidP="00CB4D94">
            <w:pPr>
              <w:spacing w:after="0" w:line="240" w:lineRule="auto"/>
              <w:rPr>
                <w:lang w:val="lv-LV"/>
              </w:rPr>
            </w:pPr>
          </w:p>
        </w:tc>
        <w:tc>
          <w:tcPr>
            <w:tcW w:w="547" w:type="pct"/>
            <w:vMerge w:val="restart"/>
            <w:textDirection w:val="btLr"/>
            <w:vAlign w:val="center"/>
          </w:tcPr>
          <w:p w14:paraId="57B29E2D" w14:textId="77777777" w:rsidR="00CB4D94" w:rsidRPr="00F43C58" w:rsidRDefault="00991AAB" w:rsidP="00991AAB">
            <w:pPr>
              <w:spacing w:after="0" w:line="240" w:lineRule="auto"/>
              <w:ind w:left="113" w:right="113"/>
              <w:contextualSpacing/>
              <w:jc w:val="center"/>
              <w:rPr>
                <w:b/>
                <w:i/>
                <w:spacing w:val="12"/>
                <w:lang w:val="lv-LV"/>
              </w:rPr>
            </w:pPr>
            <w:r>
              <w:rPr>
                <w:b/>
                <w:i/>
                <w:spacing w:val="12"/>
                <w:lang w:val="lv-LV"/>
              </w:rPr>
              <w:lastRenderedPageBreak/>
              <w:t>Iesaistīto pušu paustie ierosinājumi</w:t>
            </w:r>
          </w:p>
        </w:tc>
      </w:tr>
      <w:tr w:rsidR="00CB4D94" w:rsidRPr="00ED37F4" w14:paraId="03D0421F" w14:textId="77777777" w:rsidTr="00630450">
        <w:tc>
          <w:tcPr>
            <w:tcW w:w="274" w:type="pct"/>
            <w:shd w:val="clear" w:color="auto" w:fill="F2F2F2"/>
          </w:tcPr>
          <w:p w14:paraId="770D98F1" w14:textId="77777777" w:rsidR="00CB4D94" w:rsidRPr="00F43C58" w:rsidRDefault="00CB4D94" w:rsidP="00CB4D94">
            <w:pPr>
              <w:spacing w:after="0" w:line="240" w:lineRule="auto"/>
              <w:jc w:val="center"/>
              <w:rPr>
                <w:lang w:val="lv-LV"/>
              </w:rPr>
            </w:pPr>
            <w:r w:rsidRPr="00F43C58">
              <w:rPr>
                <w:lang w:val="lv-LV"/>
              </w:rPr>
              <w:lastRenderedPageBreak/>
              <w:t>2</w:t>
            </w:r>
          </w:p>
        </w:tc>
        <w:tc>
          <w:tcPr>
            <w:tcW w:w="1232" w:type="pct"/>
            <w:shd w:val="clear" w:color="auto" w:fill="auto"/>
          </w:tcPr>
          <w:p w14:paraId="5FB144F8" w14:textId="77777777" w:rsidR="00792667" w:rsidRPr="00F43C58" w:rsidRDefault="00792667" w:rsidP="00146C1C">
            <w:pPr>
              <w:spacing w:after="0" w:line="240" w:lineRule="auto"/>
              <w:jc w:val="both"/>
              <w:rPr>
                <w:lang w:val="lv-LV"/>
              </w:rPr>
            </w:pPr>
            <w:r w:rsidRPr="00F43C58">
              <w:rPr>
                <w:lang w:val="lv-LV"/>
              </w:rPr>
              <w:t xml:space="preserve">NVO nav iespējas iesaistīties lēmumu pieņemšanas un konsultēšanas procesos, tām ir grūtības piekļūt lēmumu pieņēmējiem, turklāt bieži ierēdņi un politiķi ir neieinteresēti, lai rastu risinājumus šajos </w:t>
            </w:r>
            <w:r w:rsidR="00EA5218" w:rsidRPr="00F43C58">
              <w:rPr>
                <w:lang w:val="lv-LV"/>
              </w:rPr>
              <w:t>problēm</w:t>
            </w:r>
            <w:r w:rsidRPr="00F43C58">
              <w:rPr>
                <w:lang w:val="lv-LV"/>
              </w:rPr>
              <w:t>jautājumos</w:t>
            </w:r>
            <w:r w:rsidR="004B0BD8">
              <w:rPr>
                <w:lang w:val="lv-LV"/>
              </w:rPr>
              <w:t>.</w:t>
            </w:r>
          </w:p>
          <w:p w14:paraId="2EAFBBD5" w14:textId="77777777" w:rsidR="0028414D" w:rsidRPr="00F43C58" w:rsidRDefault="0028414D" w:rsidP="00146C1C">
            <w:pPr>
              <w:spacing w:after="0" w:line="240" w:lineRule="auto"/>
              <w:jc w:val="both"/>
              <w:rPr>
                <w:lang w:val="lv-LV"/>
              </w:rPr>
            </w:pPr>
          </w:p>
          <w:p w14:paraId="26C596C6" w14:textId="77777777" w:rsidR="00CB4D94" w:rsidRPr="00F43C58" w:rsidRDefault="00CB4D94" w:rsidP="00146C1C">
            <w:pPr>
              <w:spacing w:after="0" w:line="240" w:lineRule="auto"/>
              <w:jc w:val="both"/>
              <w:rPr>
                <w:lang w:val="lv-LV"/>
              </w:rPr>
            </w:pPr>
          </w:p>
        </w:tc>
        <w:tc>
          <w:tcPr>
            <w:tcW w:w="754" w:type="pct"/>
            <w:shd w:val="clear" w:color="auto" w:fill="auto"/>
          </w:tcPr>
          <w:p w14:paraId="0535ECD8" w14:textId="77777777" w:rsidR="00CB4D94" w:rsidRPr="00F43C58" w:rsidRDefault="00792667" w:rsidP="00792667">
            <w:pPr>
              <w:spacing w:after="0" w:line="240" w:lineRule="auto"/>
              <w:jc w:val="both"/>
              <w:rPr>
                <w:i/>
                <w:color w:val="808080"/>
                <w:lang w:val="lv-LV"/>
              </w:rPr>
            </w:pPr>
            <w:r w:rsidRPr="00F43C58">
              <w:rPr>
                <w:lang w:val="lv-LV"/>
              </w:rPr>
              <w:t>Valsts iestādes konsultējas ar NVO lēmumu pieņemšanas procesos</w:t>
            </w:r>
          </w:p>
        </w:tc>
        <w:tc>
          <w:tcPr>
            <w:tcW w:w="1233" w:type="pct"/>
            <w:shd w:val="clear" w:color="auto" w:fill="auto"/>
          </w:tcPr>
          <w:p w14:paraId="00CBD5D1" w14:textId="1FD12D35" w:rsidR="00CB4D94" w:rsidRPr="00F43C58" w:rsidRDefault="00E8775B" w:rsidP="00C33BCC">
            <w:pPr>
              <w:spacing w:after="0" w:line="240" w:lineRule="auto"/>
              <w:rPr>
                <w:i/>
                <w:color w:val="808080"/>
                <w:lang w:val="lv-LV"/>
              </w:rPr>
            </w:pPr>
            <w:r>
              <w:rPr>
                <w:lang w:val="lv-LV"/>
              </w:rPr>
              <w:t>NVO</w:t>
            </w:r>
            <w:r w:rsidR="00C33BCC">
              <w:rPr>
                <w:lang w:val="lv-LV"/>
              </w:rPr>
              <w:t xml:space="preserve"> kopumā</w:t>
            </w:r>
            <w:r w:rsidR="00792667" w:rsidRPr="00F43C58">
              <w:rPr>
                <w:lang w:val="lv-LV"/>
              </w:rPr>
              <w:t>, pašvaldību un Saeimas politiķi, publi</w:t>
            </w:r>
            <w:r w:rsidR="00C33BCC">
              <w:rPr>
                <w:lang w:val="lv-LV"/>
              </w:rPr>
              <w:t>skās pārvaldes ierēdņi, kopienu un mediju pārstāvji</w:t>
            </w:r>
          </w:p>
        </w:tc>
        <w:tc>
          <w:tcPr>
            <w:tcW w:w="959" w:type="pct"/>
            <w:shd w:val="clear" w:color="auto" w:fill="auto"/>
          </w:tcPr>
          <w:p w14:paraId="26D66102" w14:textId="77777777" w:rsidR="00CB4D94" w:rsidRPr="00F43C58" w:rsidRDefault="00792667" w:rsidP="00630450">
            <w:pPr>
              <w:spacing w:after="0" w:line="240" w:lineRule="auto"/>
              <w:rPr>
                <w:lang w:val="lv-LV"/>
              </w:rPr>
            </w:pPr>
            <w:r w:rsidRPr="00F43C58">
              <w:rPr>
                <w:lang w:val="lv-LV"/>
              </w:rPr>
              <w:t xml:space="preserve">Visi iedzīvotāji, </w:t>
            </w:r>
            <w:r w:rsidR="00EB664E">
              <w:rPr>
                <w:lang w:val="lv-LV"/>
              </w:rPr>
              <w:t>pilsoniskās sabiedrības organizācijas</w:t>
            </w:r>
            <w:r w:rsidRPr="00F43C58">
              <w:rPr>
                <w:lang w:val="lv-LV"/>
              </w:rPr>
              <w:t>, tai skaitā jaunieši, nacionālās minoritātes, brīvprātīgie un aktīvisti</w:t>
            </w:r>
          </w:p>
        </w:tc>
        <w:tc>
          <w:tcPr>
            <w:tcW w:w="547" w:type="pct"/>
            <w:vMerge/>
          </w:tcPr>
          <w:p w14:paraId="09545868" w14:textId="77777777" w:rsidR="00CB4D94" w:rsidRPr="00F43C58" w:rsidRDefault="00CB4D94" w:rsidP="00CB4D94">
            <w:pPr>
              <w:spacing w:after="0" w:line="240" w:lineRule="auto"/>
              <w:contextualSpacing/>
              <w:jc w:val="both"/>
              <w:rPr>
                <w:i/>
                <w:color w:val="808080"/>
                <w:lang w:val="lv-LV"/>
              </w:rPr>
            </w:pPr>
          </w:p>
        </w:tc>
      </w:tr>
      <w:tr w:rsidR="00CB4D94" w:rsidRPr="00F43C58" w14:paraId="021E928F" w14:textId="77777777" w:rsidTr="00630450">
        <w:tc>
          <w:tcPr>
            <w:tcW w:w="274" w:type="pct"/>
            <w:shd w:val="clear" w:color="auto" w:fill="F2F2F2"/>
          </w:tcPr>
          <w:p w14:paraId="67856129" w14:textId="77777777" w:rsidR="00CB4D94" w:rsidRPr="00F43C58" w:rsidRDefault="00CB4D94" w:rsidP="00CB4D94">
            <w:pPr>
              <w:spacing w:after="0" w:line="240" w:lineRule="auto"/>
              <w:jc w:val="center"/>
              <w:rPr>
                <w:lang w:val="lv-LV"/>
              </w:rPr>
            </w:pPr>
            <w:r w:rsidRPr="00F43C58">
              <w:rPr>
                <w:lang w:val="lv-LV"/>
              </w:rPr>
              <w:t>3</w:t>
            </w:r>
          </w:p>
        </w:tc>
        <w:tc>
          <w:tcPr>
            <w:tcW w:w="1232" w:type="pct"/>
            <w:shd w:val="clear" w:color="auto" w:fill="auto"/>
          </w:tcPr>
          <w:p w14:paraId="02ED4571" w14:textId="0746F932" w:rsidR="00FF7CFC" w:rsidRPr="00F43C58" w:rsidRDefault="00EA5218" w:rsidP="00645F7A">
            <w:pPr>
              <w:spacing w:after="0" w:line="240" w:lineRule="auto"/>
              <w:jc w:val="both"/>
              <w:rPr>
                <w:lang w:val="lv-LV"/>
              </w:rPr>
            </w:pPr>
            <w:r w:rsidRPr="00F43C58">
              <w:rPr>
                <w:lang w:val="lv-LV"/>
              </w:rPr>
              <w:t xml:space="preserve">Pilsoniskās sabiedrības ilgtspēju ietekmē nestabila tiesiskā un finanšu vide Latvijā, kas ir cieši </w:t>
            </w:r>
            <w:r w:rsidR="00E60BF0" w:rsidRPr="00F43C58">
              <w:rPr>
                <w:lang w:val="lv-LV"/>
              </w:rPr>
              <w:t>saistīt</w:t>
            </w:r>
            <w:r w:rsidR="00E60BF0">
              <w:rPr>
                <w:lang w:val="lv-LV"/>
              </w:rPr>
              <w:t>a</w:t>
            </w:r>
            <w:r w:rsidR="00E60BF0" w:rsidRPr="00F43C58">
              <w:rPr>
                <w:lang w:val="lv-LV"/>
              </w:rPr>
              <w:t xml:space="preserve"> </w:t>
            </w:r>
            <w:r w:rsidRPr="00F43C58">
              <w:rPr>
                <w:lang w:val="lv-LV"/>
              </w:rPr>
              <w:t xml:space="preserve">ar informācijas trūkumu par NVO, to darbību un pozitīvo ietekmi uz vispārēju dzīves kvalitātes uzlabošanu, kā arī </w:t>
            </w:r>
            <w:r w:rsidR="00645F7A">
              <w:rPr>
                <w:lang w:val="lv-LV"/>
              </w:rPr>
              <w:t>nepietiekam</w:t>
            </w:r>
            <w:r w:rsidR="00E60BF0">
              <w:rPr>
                <w:lang w:val="lv-LV"/>
              </w:rPr>
              <w:t>u</w:t>
            </w:r>
            <w:r w:rsidR="00645F7A">
              <w:rPr>
                <w:lang w:val="lv-LV"/>
              </w:rPr>
              <w:t xml:space="preserve"> </w:t>
            </w:r>
            <w:r w:rsidR="00E60BF0">
              <w:rPr>
                <w:lang w:val="lv-LV"/>
              </w:rPr>
              <w:t xml:space="preserve">NVO </w:t>
            </w:r>
            <w:r w:rsidR="00645F7A">
              <w:rPr>
                <w:lang w:val="lv-LV"/>
              </w:rPr>
              <w:t>savstarpējo sadarbību un kopīgu</w:t>
            </w:r>
            <w:r w:rsidRPr="00F43C58">
              <w:rPr>
                <w:lang w:val="lv-LV"/>
              </w:rPr>
              <w:t xml:space="preserve"> interešu aizstāvības </w:t>
            </w:r>
            <w:r w:rsidR="00645F7A">
              <w:rPr>
                <w:lang w:val="lv-LV"/>
              </w:rPr>
              <w:t>aktivitāšu īstenošanu</w:t>
            </w:r>
            <w:r w:rsidRPr="00F43C58">
              <w:rPr>
                <w:lang w:val="lv-LV"/>
              </w:rPr>
              <w:t>.</w:t>
            </w:r>
          </w:p>
        </w:tc>
        <w:tc>
          <w:tcPr>
            <w:tcW w:w="754" w:type="pct"/>
            <w:shd w:val="clear" w:color="auto" w:fill="auto"/>
          </w:tcPr>
          <w:p w14:paraId="638DAC42" w14:textId="77777777" w:rsidR="00CB4D94" w:rsidRPr="00F43C58" w:rsidRDefault="00174A73" w:rsidP="00CB4D94">
            <w:pPr>
              <w:spacing w:after="0" w:line="240" w:lineRule="auto"/>
              <w:jc w:val="both"/>
              <w:rPr>
                <w:i/>
                <w:color w:val="808080"/>
                <w:lang w:val="lv-LV"/>
              </w:rPr>
            </w:pPr>
            <w:r>
              <w:rPr>
                <w:lang w:val="lv-LV"/>
              </w:rPr>
              <w:t>Stiprināta</w:t>
            </w:r>
            <w:r w:rsidR="00EA5218" w:rsidRPr="00F43C58">
              <w:rPr>
                <w:lang w:val="lv-LV"/>
              </w:rPr>
              <w:t xml:space="preserve"> pilsoniskās sabiedrības kapacitāte un ilgtspējība</w:t>
            </w:r>
          </w:p>
        </w:tc>
        <w:tc>
          <w:tcPr>
            <w:tcW w:w="1233" w:type="pct"/>
            <w:shd w:val="clear" w:color="auto" w:fill="auto"/>
          </w:tcPr>
          <w:p w14:paraId="4D164043" w14:textId="7F4A7708" w:rsidR="00CB4D94" w:rsidRPr="00F43C58" w:rsidRDefault="00E8775B" w:rsidP="00C33BCC">
            <w:pPr>
              <w:spacing w:after="0" w:line="240" w:lineRule="auto"/>
              <w:rPr>
                <w:color w:val="808080"/>
                <w:lang w:val="lv-LV"/>
              </w:rPr>
            </w:pPr>
            <w:r>
              <w:rPr>
                <w:lang w:val="lv-LV"/>
              </w:rPr>
              <w:t>NVO</w:t>
            </w:r>
            <w:r w:rsidR="00C33BCC">
              <w:rPr>
                <w:lang w:val="lv-LV"/>
              </w:rPr>
              <w:t xml:space="preserve"> kopumā</w:t>
            </w:r>
            <w:r w:rsidR="00EA5218" w:rsidRPr="00F43C58">
              <w:rPr>
                <w:lang w:val="lv-LV"/>
              </w:rPr>
              <w:t xml:space="preserve">, </w:t>
            </w:r>
            <w:r w:rsidR="00C33BCC">
              <w:rPr>
                <w:lang w:val="lv-LV"/>
              </w:rPr>
              <w:t>īpaši</w:t>
            </w:r>
            <w:r w:rsidR="00EA5218" w:rsidRPr="00F43C58">
              <w:rPr>
                <w:lang w:val="lv-LV"/>
              </w:rPr>
              <w:t xml:space="preserve"> tās, kurām ir mazāka tehniskā, finansiālā un organizatoriskā </w:t>
            </w:r>
            <w:r w:rsidR="00C33BCC">
              <w:rPr>
                <w:lang w:val="lv-LV"/>
              </w:rPr>
              <w:t>kapacitāte</w:t>
            </w:r>
          </w:p>
        </w:tc>
        <w:tc>
          <w:tcPr>
            <w:tcW w:w="959" w:type="pct"/>
            <w:shd w:val="clear" w:color="auto" w:fill="auto"/>
          </w:tcPr>
          <w:p w14:paraId="69AC247A" w14:textId="77777777" w:rsidR="00CB4D94" w:rsidRPr="00F43C58" w:rsidRDefault="00EB664E" w:rsidP="00CB4D94">
            <w:pPr>
              <w:spacing w:after="0" w:line="240" w:lineRule="auto"/>
              <w:rPr>
                <w:lang w:val="lv-LV"/>
              </w:rPr>
            </w:pPr>
            <w:r>
              <w:rPr>
                <w:lang w:val="lv-LV"/>
              </w:rPr>
              <w:t>Pilsoniskās sabiedrības organizācijas</w:t>
            </w:r>
          </w:p>
        </w:tc>
        <w:tc>
          <w:tcPr>
            <w:tcW w:w="547" w:type="pct"/>
            <w:vMerge/>
          </w:tcPr>
          <w:p w14:paraId="0C0049DE" w14:textId="77777777" w:rsidR="00CB4D94" w:rsidRPr="00F43C58" w:rsidRDefault="00CB4D94" w:rsidP="00CB4D94">
            <w:pPr>
              <w:spacing w:after="0" w:line="240" w:lineRule="auto"/>
              <w:contextualSpacing/>
              <w:jc w:val="both"/>
              <w:rPr>
                <w:i/>
                <w:color w:val="808080"/>
                <w:lang w:val="lv-LV"/>
              </w:rPr>
            </w:pPr>
          </w:p>
        </w:tc>
      </w:tr>
      <w:tr w:rsidR="00CB4D94" w:rsidRPr="00ED37F4" w14:paraId="25C66871" w14:textId="77777777" w:rsidTr="00630450">
        <w:tc>
          <w:tcPr>
            <w:tcW w:w="274" w:type="pct"/>
            <w:tcBorders>
              <w:bottom w:val="single" w:sz="4" w:space="0" w:color="auto"/>
            </w:tcBorders>
            <w:shd w:val="clear" w:color="auto" w:fill="F2F2F2"/>
          </w:tcPr>
          <w:p w14:paraId="69E9214F" w14:textId="77777777" w:rsidR="00CB4D94" w:rsidRPr="00F43C58" w:rsidRDefault="00CB4D94" w:rsidP="00CB4D94">
            <w:pPr>
              <w:spacing w:after="0" w:line="240" w:lineRule="auto"/>
              <w:jc w:val="center"/>
              <w:rPr>
                <w:lang w:val="lv-LV"/>
              </w:rPr>
            </w:pPr>
            <w:r w:rsidRPr="00F43C58">
              <w:rPr>
                <w:lang w:val="lv-LV"/>
              </w:rPr>
              <w:t>4</w:t>
            </w:r>
          </w:p>
        </w:tc>
        <w:tc>
          <w:tcPr>
            <w:tcW w:w="1232" w:type="pct"/>
            <w:shd w:val="clear" w:color="auto" w:fill="auto"/>
          </w:tcPr>
          <w:p w14:paraId="2FAFB7BB" w14:textId="2C850D27" w:rsidR="0068551A" w:rsidRPr="00F43C58" w:rsidRDefault="00EA5218" w:rsidP="00031DF3">
            <w:pPr>
              <w:spacing w:after="0" w:line="240" w:lineRule="auto"/>
              <w:jc w:val="both"/>
              <w:rPr>
                <w:lang w:val="lv-LV"/>
              </w:rPr>
            </w:pPr>
            <w:r w:rsidRPr="00F43C58">
              <w:rPr>
                <w:lang w:val="lv-LV"/>
              </w:rPr>
              <w:t xml:space="preserve">Pastāv augsts neiecietības līmenis </w:t>
            </w:r>
            <w:r w:rsidR="004B0BD8">
              <w:rPr>
                <w:lang w:val="lv-LV"/>
              </w:rPr>
              <w:t>pret</w:t>
            </w:r>
            <w:r w:rsidRPr="00F43C58">
              <w:rPr>
                <w:lang w:val="lv-LV"/>
              </w:rPr>
              <w:t xml:space="preserve"> atšķirīgo</w:t>
            </w:r>
            <w:r w:rsidR="00645F7A">
              <w:rPr>
                <w:lang w:val="lv-LV"/>
              </w:rPr>
              <w:t xml:space="preserve"> </w:t>
            </w:r>
            <w:r w:rsidR="004B0BD8">
              <w:rPr>
                <w:lang w:val="lv-LV"/>
              </w:rPr>
              <w:t xml:space="preserve">un </w:t>
            </w:r>
            <w:r w:rsidR="00031DF3">
              <w:rPr>
                <w:lang w:val="lv-LV"/>
              </w:rPr>
              <w:t xml:space="preserve">nav </w:t>
            </w:r>
            <w:r w:rsidR="00E60BF0">
              <w:rPr>
                <w:lang w:val="lv-LV"/>
              </w:rPr>
              <w:t xml:space="preserve">veikti </w:t>
            </w:r>
            <w:r w:rsidR="004B0BD8">
              <w:rPr>
                <w:lang w:val="lv-LV"/>
              </w:rPr>
              <w:t>nepietiekami</w:t>
            </w:r>
            <w:r w:rsidRPr="00F43C58">
              <w:rPr>
                <w:lang w:val="lv-LV"/>
              </w:rPr>
              <w:t xml:space="preserve"> </w:t>
            </w:r>
            <w:r w:rsidR="00E60BF0">
              <w:rPr>
                <w:lang w:val="lv-LV"/>
              </w:rPr>
              <w:t xml:space="preserve">pasākumi </w:t>
            </w:r>
            <w:r w:rsidRPr="00F43C58">
              <w:rPr>
                <w:lang w:val="lv-LV"/>
              </w:rPr>
              <w:t>sabiedrības viedokļ</w:t>
            </w:r>
            <w:r w:rsidR="00237CC5">
              <w:rPr>
                <w:lang w:val="lv-LV"/>
              </w:rPr>
              <w:t>a</w:t>
            </w:r>
            <w:r w:rsidR="004B0BD8">
              <w:rPr>
                <w:lang w:val="lv-LV"/>
              </w:rPr>
              <w:t xml:space="preserve"> maiņai ar mērķi </w:t>
            </w:r>
            <w:r w:rsidRPr="00F43C58">
              <w:rPr>
                <w:lang w:val="lv-LV"/>
              </w:rPr>
              <w:t xml:space="preserve">palielināt iecietību un mazaizsargāto </w:t>
            </w:r>
            <w:r w:rsidR="004B0BD8">
              <w:rPr>
                <w:lang w:val="lv-LV"/>
              </w:rPr>
              <w:t>grupu iespējas</w:t>
            </w:r>
            <w:r w:rsidRPr="00F43C58">
              <w:rPr>
                <w:lang w:val="lv-LV"/>
              </w:rPr>
              <w:t>, kā arī</w:t>
            </w:r>
            <w:r w:rsidR="004B0BD8">
              <w:rPr>
                <w:lang w:val="lv-LV"/>
              </w:rPr>
              <w:t xml:space="preserve"> ir </w:t>
            </w:r>
            <w:r w:rsidRPr="00F43C58">
              <w:rPr>
                <w:lang w:val="lv-LV"/>
              </w:rPr>
              <w:t xml:space="preserve"> </w:t>
            </w:r>
            <w:r w:rsidR="004B0BD8">
              <w:rPr>
                <w:lang w:val="lv-LV"/>
              </w:rPr>
              <w:t xml:space="preserve">nepietiekams </w:t>
            </w:r>
            <w:r w:rsidR="003A2252" w:rsidRPr="00F43C58">
              <w:rPr>
                <w:lang w:val="lv-LV"/>
              </w:rPr>
              <w:t>NVO</w:t>
            </w:r>
            <w:r w:rsidR="004B0BD8">
              <w:rPr>
                <w:lang w:val="lv-LV"/>
              </w:rPr>
              <w:t xml:space="preserve"> skaits</w:t>
            </w:r>
            <w:r w:rsidRPr="00F43C58">
              <w:rPr>
                <w:lang w:val="lv-LV"/>
              </w:rPr>
              <w:t>, kas nodarboj</w:t>
            </w:r>
            <w:r w:rsidR="004B0BD8">
              <w:rPr>
                <w:lang w:val="lv-LV"/>
              </w:rPr>
              <w:t>as ar cilvēktiesību aizstāvības jomā.</w:t>
            </w:r>
          </w:p>
        </w:tc>
        <w:tc>
          <w:tcPr>
            <w:tcW w:w="754" w:type="pct"/>
            <w:shd w:val="clear" w:color="auto" w:fill="auto"/>
          </w:tcPr>
          <w:p w14:paraId="03285E39" w14:textId="77777777" w:rsidR="00CB4D94" w:rsidRPr="00F43C58" w:rsidRDefault="00174A73" w:rsidP="00174A73">
            <w:pPr>
              <w:spacing w:after="0" w:line="240" w:lineRule="auto"/>
              <w:jc w:val="both"/>
              <w:rPr>
                <w:i/>
                <w:color w:val="808080"/>
                <w:lang w:val="lv-LV"/>
              </w:rPr>
            </w:pPr>
            <w:r>
              <w:rPr>
                <w:lang w:val="lv-LV"/>
              </w:rPr>
              <w:t>Pieaudzis</w:t>
            </w:r>
            <w:r w:rsidR="00EA5218" w:rsidRPr="00F43C58">
              <w:rPr>
                <w:lang w:val="lv-LV"/>
              </w:rPr>
              <w:t xml:space="preserve"> atbalsts cilvēktiesīb</w:t>
            </w:r>
            <w:r>
              <w:rPr>
                <w:lang w:val="lv-LV"/>
              </w:rPr>
              <w:t>u aktivitātēm</w:t>
            </w:r>
            <w:r w:rsidR="00EA5218" w:rsidRPr="00F43C58">
              <w:rPr>
                <w:lang w:val="lv-LV"/>
              </w:rPr>
              <w:t xml:space="preserve">, samazināta neiecietība </w:t>
            </w:r>
          </w:p>
        </w:tc>
        <w:tc>
          <w:tcPr>
            <w:tcW w:w="1233" w:type="pct"/>
            <w:shd w:val="clear" w:color="auto" w:fill="auto"/>
          </w:tcPr>
          <w:p w14:paraId="3EB369A7" w14:textId="3F577755" w:rsidR="00EA5218" w:rsidRPr="00F43C58" w:rsidRDefault="00E8775B" w:rsidP="00EA5218">
            <w:pPr>
              <w:spacing w:after="0" w:line="240" w:lineRule="auto"/>
              <w:rPr>
                <w:color w:val="808080"/>
                <w:lang w:val="lv-LV"/>
              </w:rPr>
            </w:pPr>
            <w:r>
              <w:rPr>
                <w:lang w:val="lv-LV"/>
              </w:rPr>
              <w:t>NVO</w:t>
            </w:r>
            <w:r w:rsidR="00EA5218" w:rsidRPr="00F43C58">
              <w:rPr>
                <w:lang w:val="lv-LV"/>
              </w:rPr>
              <w:t xml:space="preserve">, valsts pārvaldes iestādes, kas strādā ar mazaizsargātām grupām un grupām, kas pakļautas diskriminācijai, mediji, </w:t>
            </w:r>
            <w:r w:rsidR="0053731F">
              <w:rPr>
                <w:lang w:val="lv-LV"/>
              </w:rPr>
              <w:t>akadēmiskās vides un kopienu pārstāvji</w:t>
            </w:r>
          </w:p>
          <w:p w14:paraId="03E90750" w14:textId="77777777" w:rsidR="00CB4D94" w:rsidRPr="00F43C58" w:rsidRDefault="00CB4D94" w:rsidP="00F838B8">
            <w:pPr>
              <w:spacing w:after="0" w:line="240" w:lineRule="auto"/>
              <w:rPr>
                <w:color w:val="808080"/>
                <w:lang w:val="lv-LV"/>
              </w:rPr>
            </w:pPr>
          </w:p>
        </w:tc>
        <w:tc>
          <w:tcPr>
            <w:tcW w:w="959" w:type="pct"/>
            <w:shd w:val="clear" w:color="auto" w:fill="auto"/>
          </w:tcPr>
          <w:p w14:paraId="1DCA31CD" w14:textId="77777777" w:rsidR="00CB4D94" w:rsidRPr="00F43C58" w:rsidRDefault="00EA5218" w:rsidP="00EA5218">
            <w:pPr>
              <w:spacing w:after="0" w:line="240" w:lineRule="auto"/>
              <w:rPr>
                <w:i/>
                <w:color w:val="808080"/>
                <w:lang w:val="lv-LV"/>
              </w:rPr>
            </w:pPr>
            <w:r w:rsidRPr="00F43C58">
              <w:rPr>
                <w:lang w:val="lv-LV"/>
              </w:rPr>
              <w:t xml:space="preserve">Visi </w:t>
            </w:r>
            <w:r w:rsidR="003A2252" w:rsidRPr="00F43C58">
              <w:rPr>
                <w:lang w:val="lv-LV"/>
              </w:rPr>
              <w:t>i</w:t>
            </w:r>
            <w:r w:rsidRPr="00F43C58">
              <w:rPr>
                <w:lang w:val="lv-LV"/>
              </w:rPr>
              <w:t>edzīvotāji, it īpaši mazaizsargātas grupas un grupas, kuras pakļautas diskriminācijai, tai skaitā nacionālās minoritātes</w:t>
            </w:r>
          </w:p>
        </w:tc>
        <w:tc>
          <w:tcPr>
            <w:tcW w:w="547" w:type="pct"/>
            <w:vMerge/>
          </w:tcPr>
          <w:p w14:paraId="70E53F9D" w14:textId="77777777" w:rsidR="00CB4D94" w:rsidRPr="00F43C58" w:rsidRDefault="00CB4D94" w:rsidP="00CB4D94">
            <w:pPr>
              <w:spacing w:after="0" w:line="240" w:lineRule="auto"/>
              <w:contextualSpacing/>
              <w:jc w:val="both"/>
              <w:rPr>
                <w:i/>
                <w:color w:val="808080"/>
                <w:lang w:val="lv-LV"/>
              </w:rPr>
            </w:pPr>
          </w:p>
        </w:tc>
      </w:tr>
      <w:tr w:rsidR="00CB4D94" w:rsidRPr="00ED37F4" w14:paraId="031C4190" w14:textId="77777777" w:rsidTr="00630450">
        <w:tc>
          <w:tcPr>
            <w:tcW w:w="274" w:type="pct"/>
            <w:tcBorders>
              <w:top w:val="single" w:sz="4" w:space="0" w:color="auto"/>
              <w:left w:val="single" w:sz="4" w:space="0" w:color="auto"/>
              <w:bottom w:val="single" w:sz="4" w:space="0" w:color="auto"/>
              <w:right w:val="single" w:sz="4" w:space="0" w:color="auto"/>
            </w:tcBorders>
            <w:shd w:val="clear" w:color="auto" w:fill="F2F2F2"/>
          </w:tcPr>
          <w:p w14:paraId="47A17B03" w14:textId="77777777" w:rsidR="00CB4D94" w:rsidRPr="00F43C58" w:rsidRDefault="00CB4D94" w:rsidP="00CB4D94">
            <w:pPr>
              <w:spacing w:after="0" w:line="240" w:lineRule="auto"/>
              <w:jc w:val="center"/>
              <w:rPr>
                <w:lang w:val="lv-LV"/>
              </w:rPr>
            </w:pPr>
            <w:r w:rsidRPr="00F43C58">
              <w:rPr>
                <w:lang w:val="lv-LV"/>
              </w:rPr>
              <w:t>5</w:t>
            </w:r>
          </w:p>
        </w:tc>
        <w:tc>
          <w:tcPr>
            <w:tcW w:w="1232" w:type="pct"/>
            <w:tcBorders>
              <w:left w:val="single" w:sz="4" w:space="0" w:color="auto"/>
            </w:tcBorders>
            <w:shd w:val="clear" w:color="auto" w:fill="auto"/>
          </w:tcPr>
          <w:p w14:paraId="18F8F244" w14:textId="77777777" w:rsidR="00086709" w:rsidRPr="00F43C58" w:rsidRDefault="004B0BD8" w:rsidP="004B0BD8">
            <w:pPr>
              <w:spacing w:after="0" w:line="240" w:lineRule="auto"/>
              <w:jc w:val="both"/>
              <w:rPr>
                <w:lang w:val="lv-LV"/>
              </w:rPr>
            </w:pPr>
            <w:r>
              <w:rPr>
                <w:lang w:val="lv-LV"/>
              </w:rPr>
              <w:t>Pastāv augsts cilvēku drošumspējas nepietiekamības risks, īpaši personām</w:t>
            </w:r>
            <w:r w:rsidR="003A2252" w:rsidRPr="00F43C58">
              <w:rPr>
                <w:lang w:val="lv-LV"/>
              </w:rPr>
              <w:t>, k</w:t>
            </w:r>
            <w:r>
              <w:rPr>
                <w:lang w:val="lv-LV"/>
              </w:rPr>
              <w:t xml:space="preserve">as ir pakļautas diskriminācijas, nabadzības, </w:t>
            </w:r>
            <w:r w:rsidR="003A2252" w:rsidRPr="00F43C58">
              <w:rPr>
                <w:lang w:val="lv-LV"/>
              </w:rPr>
              <w:t>sociālās, pilsoniskās un politiskās darbības</w:t>
            </w:r>
            <w:r>
              <w:rPr>
                <w:lang w:val="lv-LV"/>
              </w:rPr>
              <w:t xml:space="preserve"> neiesaistes un</w:t>
            </w:r>
            <w:r w:rsidR="003A2252" w:rsidRPr="00F43C58">
              <w:rPr>
                <w:lang w:val="lv-LV"/>
              </w:rPr>
              <w:t xml:space="preserve"> atstumtības riskam</w:t>
            </w:r>
            <w:r>
              <w:rPr>
                <w:lang w:val="lv-LV"/>
              </w:rPr>
              <w:t>.</w:t>
            </w:r>
          </w:p>
        </w:tc>
        <w:tc>
          <w:tcPr>
            <w:tcW w:w="754" w:type="pct"/>
            <w:shd w:val="clear" w:color="auto" w:fill="auto"/>
          </w:tcPr>
          <w:p w14:paraId="2172DBD1" w14:textId="77777777" w:rsidR="00CB4D94" w:rsidRPr="00F43C58" w:rsidRDefault="003A2252" w:rsidP="00174A73">
            <w:pPr>
              <w:spacing w:after="0" w:line="240" w:lineRule="auto"/>
              <w:jc w:val="both"/>
              <w:rPr>
                <w:lang w:val="lv-LV"/>
              </w:rPr>
            </w:pPr>
            <w:r w:rsidRPr="00F43C58">
              <w:rPr>
                <w:lang w:val="lv-LV"/>
              </w:rPr>
              <w:t>Mazai</w:t>
            </w:r>
            <w:r w:rsidR="00174A73">
              <w:rPr>
                <w:lang w:val="lv-LV"/>
              </w:rPr>
              <w:t>zsargātās grupas ir iespējotas pilsoniskajai līdzdalībai</w:t>
            </w:r>
          </w:p>
        </w:tc>
        <w:tc>
          <w:tcPr>
            <w:tcW w:w="1233" w:type="pct"/>
            <w:shd w:val="clear" w:color="auto" w:fill="auto"/>
          </w:tcPr>
          <w:p w14:paraId="4E67B4D8" w14:textId="575EF018" w:rsidR="00CB4D94" w:rsidRPr="00F43C58" w:rsidRDefault="00E8775B" w:rsidP="00C33BCC">
            <w:pPr>
              <w:spacing w:after="0" w:line="240" w:lineRule="auto"/>
              <w:rPr>
                <w:lang w:val="lv-LV"/>
              </w:rPr>
            </w:pPr>
            <w:r>
              <w:rPr>
                <w:lang w:val="lv-LV"/>
              </w:rPr>
              <w:t>NVO</w:t>
            </w:r>
            <w:r w:rsidR="003A2252" w:rsidRPr="00F43C58">
              <w:rPr>
                <w:lang w:val="lv-LV"/>
              </w:rPr>
              <w:t xml:space="preserve">, valsts pārvaldes iestādes, kas strādā ar mazaizsargātām grupām un grupām, kas pakļautas diskriminācijai, mediji, </w:t>
            </w:r>
            <w:r w:rsidR="0053731F">
              <w:rPr>
                <w:lang w:val="lv-LV"/>
              </w:rPr>
              <w:t>akadēmiskās vides un kopienu pārstāvji</w:t>
            </w:r>
          </w:p>
        </w:tc>
        <w:tc>
          <w:tcPr>
            <w:tcW w:w="959" w:type="pct"/>
            <w:shd w:val="clear" w:color="auto" w:fill="auto"/>
          </w:tcPr>
          <w:p w14:paraId="7B91AD17" w14:textId="77777777" w:rsidR="00CB4D94" w:rsidRPr="00F43C58" w:rsidRDefault="003A2252" w:rsidP="000B090F">
            <w:pPr>
              <w:spacing w:after="0" w:line="240" w:lineRule="auto"/>
              <w:rPr>
                <w:highlight w:val="yellow"/>
                <w:lang w:val="lv-LV"/>
              </w:rPr>
            </w:pPr>
            <w:r w:rsidRPr="00F43C58">
              <w:rPr>
                <w:lang w:val="lv-LV"/>
              </w:rPr>
              <w:t>Visi iedzīvotāji, it īpaši mazaizsargātas grupas un grupas, kuras pakļautas diskriminācijai</w:t>
            </w:r>
            <w:r w:rsidRPr="00F43C58">
              <w:rPr>
                <w:highlight w:val="yellow"/>
                <w:lang w:val="lv-LV"/>
              </w:rPr>
              <w:t xml:space="preserve"> </w:t>
            </w:r>
          </w:p>
        </w:tc>
        <w:tc>
          <w:tcPr>
            <w:tcW w:w="547" w:type="pct"/>
            <w:vMerge/>
          </w:tcPr>
          <w:p w14:paraId="1EAA3768" w14:textId="77777777" w:rsidR="00CB4D94" w:rsidRPr="00F43C58" w:rsidRDefault="00CB4D94" w:rsidP="00CB4D94">
            <w:pPr>
              <w:spacing w:after="0" w:line="240" w:lineRule="auto"/>
              <w:jc w:val="both"/>
              <w:rPr>
                <w:i/>
                <w:color w:val="808080"/>
                <w:lang w:val="lv-LV"/>
              </w:rPr>
            </w:pPr>
          </w:p>
        </w:tc>
      </w:tr>
      <w:tr w:rsidR="00CB4D94" w:rsidRPr="00ED37F4" w14:paraId="6C02F9BD" w14:textId="77777777" w:rsidTr="00630450">
        <w:tc>
          <w:tcPr>
            <w:tcW w:w="274" w:type="pct"/>
            <w:tcBorders>
              <w:top w:val="single" w:sz="4" w:space="0" w:color="auto"/>
              <w:left w:val="single" w:sz="4" w:space="0" w:color="auto"/>
              <w:bottom w:val="single" w:sz="4" w:space="0" w:color="auto"/>
              <w:right w:val="single" w:sz="4" w:space="0" w:color="auto"/>
            </w:tcBorders>
            <w:shd w:val="clear" w:color="auto" w:fill="F2F2F2"/>
          </w:tcPr>
          <w:p w14:paraId="6E0BEE4D" w14:textId="77777777" w:rsidR="00CB4D94" w:rsidRPr="00F43C58" w:rsidRDefault="00B4799E" w:rsidP="00CB4D94">
            <w:pPr>
              <w:spacing w:after="0" w:line="240" w:lineRule="auto"/>
              <w:jc w:val="center"/>
              <w:rPr>
                <w:lang w:val="lv-LV"/>
              </w:rPr>
            </w:pPr>
            <w:r w:rsidRPr="00F43C58">
              <w:rPr>
                <w:lang w:val="lv-LV"/>
              </w:rPr>
              <w:t>6</w:t>
            </w:r>
          </w:p>
        </w:tc>
        <w:tc>
          <w:tcPr>
            <w:tcW w:w="1232" w:type="pct"/>
            <w:tcBorders>
              <w:left w:val="single" w:sz="4" w:space="0" w:color="auto"/>
            </w:tcBorders>
            <w:shd w:val="clear" w:color="auto" w:fill="auto"/>
          </w:tcPr>
          <w:p w14:paraId="5AC1FAA2" w14:textId="77777777" w:rsidR="007D72E4" w:rsidRPr="00F43C58" w:rsidRDefault="003A2252" w:rsidP="004B0BD8">
            <w:pPr>
              <w:spacing w:after="0" w:line="240" w:lineRule="auto"/>
              <w:jc w:val="both"/>
              <w:rPr>
                <w:lang w:val="lv-LV"/>
              </w:rPr>
            </w:pPr>
            <w:r w:rsidRPr="00F43C58">
              <w:rPr>
                <w:lang w:val="lv-LV"/>
              </w:rPr>
              <w:t xml:space="preserve">Neticība iedzīvotāju "balss spēkam" un zema pilsoniskā līdzdalība. Sabiedrība ir mazāk </w:t>
            </w:r>
            <w:r w:rsidRPr="00F43C58">
              <w:rPr>
                <w:lang w:val="lv-LV"/>
              </w:rPr>
              <w:lastRenderedPageBreak/>
              <w:t xml:space="preserve">motivēta aktīvi piedalīties pilsoniskās un politiskās aktivitātēs, </w:t>
            </w:r>
            <w:r w:rsidR="004B0BD8">
              <w:rPr>
                <w:lang w:val="lv-LV"/>
              </w:rPr>
              <w:t>turklāt daļai sabiedrības joprojām ir b</w:t>
            </w:r>
            <w:r w:rsidR="004B0BD8">
              <w:rPr>
                <w:color w:val="212121"/>
                <w:lang w:val="lv-LV"/>
              </w:rPr>
              <w:t xml:space="preserve">ailes izrādīt interesi un būt iesaistītai, censties ietekmēt </w:t>
            </w:r>
            <w:r w:rsidR="004B0BD8" w:rsidRPr="00F43C58">
              <w:rPr>
                <w:color w:val="212121"/>
                <w:lang w:val="lv-LV"/>
              </w:rPr>
              <w:t>lēmumu pieņemšanas procesus</w:t>
            </w:r>
            <w:r w:rsidR="004B0BD8">
              <w:rPr>
                <w:lang w:val="lv-LV"/>
              </w:rPr>
              <w:t>.</w:t>
            </w:r>
          </w:p>
        </w:tc>
        <w:tc>
          <w:tcPr>
            <w:tcW w:w="754" w:type="pct"/>
            <w:shd w:val="clear" w:color="auto" w:fill="auto"/>
          </w:tcPr>
          <w:p w14:paraId="5EB8F097" w14:textId="4F89E880" w:rsidR="00CB4D94" w:rsidRPr="00F43C58" w:rsidRDefault="003A2252" w:rsidP="00E8775B">
            <w:pPr>
              <w:jc w:val="both"/>
              <w:rPr>
                <w:lang w:val="lv-LV"/>
              </w:rPr>
            </w:pPr>
            <w:r w:rsidRPr="00F43C58">
              <w:rPr>
                <w:lang w:val="lv-LV"/>
              </w:rPr>
              <w:lastRenderedPageBreak/>
              <w:t xml:space="preserve">Stiprināta pilsoniskās sabiedrības </w:t>
            </w:r>
            <w:r w:rsidRPr="00F43C58">
              <w:rPr>
                <w:lang w:val="lv-LV"/>
              </w:rPr>
              <w:lastRenderedPageBreak/>
              <w:t xml:space="preserve">sargsuņu/ interešu aizstāvības </w:t>
            </w:r>
            <w:r w:rsidR="00301A8C">
              <w:rPr>
                <w:lang w:val="lv-LV"/>
              </w:rPr>
              <w:t xml:space="preserve">loma </w:t>
            </w:r>
          </w:p>
        </w:tc>
        <w:tc>
          <w:tcPr>
            <w:tcW w:w="1233" w:type="pct"/>
            <w:shd w:val="clear" w:color="auto" w:fill="auto"/>
          </w:tcPr>
          <w:p w14:paraId="77F2C597" w14:textId="7170AECD" w:rsidR="00CB4D94" w:rsidRPr="00F43C58" w:rsidRDefault="00E8775B" w:rsidP="00C33BCC">
            <w:pPr>
              <w:spacing w:after="0" w:line="240" w:lineRule="auto"/>
              <w:rPr>
                <w:i/>
                <w:color w:val="808080"/>
                <w:lang w:val="lv-LV"/>
              </w:rPr>
            </w:pPr>
            <w:r>
              <w:rPr>
                <w:lang w:val="lv-LV"/>
              </w:rPr>
              <w:lastRenderedPageBreak/>
              <w:t>NVO</w:t>
            </w:r>
            <w:r w:rsidR="00C33BCC">
              <w:rPr>
                <w:lang w:val="lv-LV"/>
              </w:rPr>
              <w:t xml:space="preserve"> </w:t>
            </w:r>
            <w:r w:rsidR="003A2252" w:rsidRPr="00F43C58">
              <w:rPr>
                <w:lang w:val="lv-LV"/>
              </w:rPr>
              <w:t>kopumā, pašvaldību un Saeimas politiķi, publiskās pārva</w:t>
            </w:r>
            <w:r w:rsidR="0053731F">
              <w:rPr>
                <w:lang w:val="lv-LV"/>
              </w:rPr>
              <w:t xml:space="preserve">ldes ierēdņi, kopienu pārstāvji, </w:t>
            </w:r>
            <w:r w:rsidR="0053731F">
              <w:rPr>
                <w:lang w:val="lv-LV"/>
              </w:rPr>
              <w:lastRenderedPageBreak/>
              <w:t>mediju pārstāvji</w:t>
            </w:r>
          </w:p>
        </w:tc>
        <w:tc>
          <w:tcPr>
            <w:tcW w:w="959" w:type="pct"/>
            <w:shd w:val="clear" w:color="auto" w:fill="auto"/>
          </w:tcPr>
          <w:p w14:paraId="379331E9" w14:textId="77777777" w:rsidR="00CB4D94" w:rsidRPr="00F43C58" w:rsidRDefault="003A2252" w:rsidP="00630450">
            <w:pPr>
              <w:spacing w:after="0" w:line="240" w:lineRule="auto"/>
              <w:rPr>
                <w:i/>
                <w:color w:val="808080"/>
                <w:lang w:val="lv-LV"/>
              </w:rPr>
            </w:pPr>
            <w:r w:rsidRPr="00F43C58">
              <w:rPr>
                <w:lang w:val="lv-LV"/>
              </w:rPr>
              <w:lastRenderedPageBreak/>
              <w:t xml:space="preserve">Visi iedzīvotāji, NVO, tai skaitā jaunieši, nacionālās minoritātes, </w:t>
            </w:r>
            <w:r w:rsidRPr="00F43C58">
              <w:rPr>
                <w:lang w:val="lv-LV"/>
              </w:rPr>
              <w:lastRenderedPageBreak/>
              <w:t>brīvprātīgie un aktīvisti</w:t>
            </w:r>
          </w:p>
        </w:tc>
        <w:tc>
          <w:tcPr>
            <w:tcW w:w="547" w:type="pct"/>
            <w:vMerge/>
          </w:tcPr>
          <w:p w14:paraId="24EE7B75" w14:textId="77777777" w:rsidR="00CB4D94" w:rsidRPr="00F43C58" w:rsidRDefault="00CB4D94" w:rsidP="00CB4D94">
            <w:pPr>
              <w:spacing w:after="0" w:line="240" w:lineRule="auto"/>
              <w:jc w:val="both"/>
              <w:rPr>
                <w:i/>
                <w:color w:val="808080"/>
                <w:lang w:val="lv-LV"/>
              </w:rPr>
            </w:pPr>
          </w:p>
        </w:tc>
      </w:tr>
      <w:tr w:rsidR="00A22539" w:rsidRPr="00ED37F4" w14:paraId="58A73DC1" w14:textId="77777777" w:rsidTr="00A22539">
        <w:tc>
          <w:tcPr>
            <w:tcW w:w="274" w:type="pct"/>
            <w:tcBorders>
              <w:top w:val="single" w:sz="4" w:space="0" w:color="auto"/>
              <w:left w:val="single" w:sz="4" w:space="0" w:color="auto"/>
              <w:bottom w:val="single" w:sz="4" w:space="0" w:color="auto"/>
              <w:right w:val="single" w:sz="4" w:space="0" w:color="auto"/>
            </w:tcBorders>
            <w:shd w:val="clear" w:color="auto" w:fill="F2F2F2"/>
          </w:tcPr>
          <w:p w14:paraId="4933B761" w14:textId="77777777" w:rsidR="00A22539" w:rsidRPr="00F43C58" w:rsidRDefault="00B4799E" w:rsidP="006B5A92">
            <w:pPr>
              <w:spacing w:after="0" w:line="240" w:lineRule="auto"/>
              <w:jc w:val="center"/>
              <w:rPr>
                <w:lang w:val="lv-LV"/>
              </w:rPr>
            </w:pPr>
            <w:r w:rsidRPr="00F43C58">
              <w:rPr>
                <w:lang w:val="lv-LV"/>
              </w:rPr>
              <w:lastRenderedPageBreak/>
              <w:t>7</w:t>
            </w:r>
          </w:p>
        </w:tc>
        <w:tc>
          <w:tcPr>
            <w:tcW w:w="1232" w:type="pct"/>
            <w:tcBorders>
              <w:left w:val="single" w:sz="4" w:space="0" w:color="auto"/>
            </w:tcBorders>
            <w:shd w:val="clear" w:color="auto" w:fill="auto"/>
          </w:tcPr>
          <w:p w14:paraId="600ED77B" w14:textId="77777777" w:rsidR="00A22539" w:rsidRPr="00F43C58" w:rsidRDefault="003A2252" w:rsidP="003A2252">
            <w:pPr>
              <w:spacing w:after="0" w:line="240" w:lineRule="auto"/>
              <w:jc w:val="both"/>
              <w:rPr>
                <w:lang w:val="lv-LV"/>
              </w:rPr>
            </w:pPr>
            <w:r w:rsidRPr="00F43C58">
              <w:rPr>
                <w:lang w:val="lv-LV"/>
              </w:rPr>
              <w:t>Bilateriālā sadarbība</w:t>
            </w:r>
            <w:r w:rsidR="00A22539" w:rsidRPr="00F43C58">
              <w:rPr>
                <w:lang w:val="lv-LV"/>
              </w:rPr>
              <w:t xml:space="preserve"> </w:t>
            </w:r>
          </w:p>
        </w:tc>
        <w:tc>
          <w:tcPr>
            <w:tcW w:w="754" w:type="pct"/>
            <w:shd w:val="clear" w:color="auto" w:fill="auto"/>
          </w:tcPr>
          <w:p w14:paraId="346D8252" w14:textId="77777777" w:rsidR="003A2252" w:rsidRPr="00F43C58" w:rsidRDefault="003A2252" w:rsidP="0053731F">
            <w:pPr>
              <w:jc w:val="both"/>
              <w:rPr>
                <w:lang w:val="lv-LV"/>
              </w:rPr>
            </w:pPr>
            <w:r w:rsidRPr="00F43C58">
              <w:rPr>
                <w:lang w:val="lv-LV"/>
              </w:rPr>
              <w:t>Uzlabota saņēmējvalst</w:t>
            </w:r>
            <w:r w:rsidR="00174A73">
              <w:rPr>
                <w:lang w:val="lv-LV"/>
              </w:rPr>
              <w:t>u</w:t>
            </w:r>
            <w:r w:rsidRPr="00F43C58">
              <w:rPr>
                <w:lang w:val="lv-LV"/>
              </w:rPr>
              <w:t xml:space="preserve"> un </w:t>
            </w:r>
            <w:r w:rsidR="00174A73">
              <w:rPr>
                <w:lang w:val="lv-LV"/>
              </w:rPr>
              <w:t>d</w:t>
            </w:r>
            <w:r w:rsidRPr="00F43C58">
              <w:rPr>
                <w:lang w:val="lv-LV"/>
              </w:rPr>
              <w:t xml:space="preserve">onorvalstu </w:t>
            </w:r>
            <w:r w:rsidR="0053731F">
              <w:rPr>
                <w:lang w:val="lv-LV"/>
              </w:rPr>
              <w:t xml:space="preserve">Programmā iesaistīto </w:t>
            </w:r>
            <w:r w:rsidR="00174A73">
              <w:rPr>
                <w:lang w:val="lv-LV"/>
              </w:rPr>
              <w:t>organizāciju sadarbība</w:t>
            </w:r>
          </w:p>
        </w:tc>
        <w:tc>
          <w:tcPr>
            <w:tcW w:w="1233" w:type="pct"/>
            <w:shd w:val="clear" w:color="auto" w:fill="auto"/>
          </w:tcPr>
          <w:p w14:paraId="682D4832" w14:textId="0A41A04B" w:rsidR="003A2252" w:rsidRPr="00F43C58" w:rsidRDefault="00E8775B" w:rsidP="00C33BCC">
            <w:pPr>
              <w:spacing w:after="0" w:line="240" w:lineRule="auto"/>
              <w:rPr>
                <w:lang w:val="lv-LV"/>
              </w:rPr>
            </w:pPr>
            <w:r>
              <w:rPr>
                <w:lang w:val="lv-LV"/>
              </w:rPr>
              <w:t>NVO</w:t>
            </w:r>
            <w:r w:rsidR="00C33BCC">
              <w:rPr>
                <w:lang w:val="lv-LV"/>
              </w:rPr>
              <w:t xml:space="preserve"> </w:t>
            </w:r>
            <w:r w:rsidR="0053731F">
              <w:rPr>
                <w:lang w:val="lv-LV"/>
              </w:rPr>
              <w:t>un citu institūciju eksperti, kuriem ir vēlme un iespējas</w:t>
            </w:r>
            <w:r w:rsidR="003A2252" w:rsidRPr="00F43C58">
              <w:rPr>
                <w:lang w:val="lv-LV"/>
              </w:rPr>
              <w:t xml:space="preserve"> veicinā</w:t>
            </w:r>
            <w:r w:rsidR="00723137" w:rsidRPr="00F43C58">
              <w:rPr>
                <w:lang w:val="lv-LV"/>
              </w:rPr>
              <w:t>t divpusēju pieredzes</w:t>
            </w:r>
            <w:r w:rsidR="0053731F">
              <w:rPr>
                <w:lang w:val="lv-LV"/>
              </w:rPr>
              <w:t>, labās prakses</w:t>
            </w:r>
            <w:r w:rsidR="00723137" w:rsidRPr="00F43C58">
              <w:rPr>
                <w:lang w:val="lv-LV"/>
              </w:rPr>
              <w:t xml:space="preserve"> </w:t>
            </w:r>
            <w:r w:rsidR="0053731F">
              <w:rPr>
                <w:lang w:val="lv-LV"/>
              </w:rPr>
              <w:t>un zināšanu (</w:t>
            </w:r>
            <w:r w:rsidR="00723137" w:rsidRPr="0053731F">
              <w:rPr>
                <w:i/>
                <w:lang w:val="lv-LV"/>
              </w:rPr>
              <w:t>know-how</w:t>
            </w:r>
            <w:r w:rsidR="0053731F">
              <w:rPr>
                <w:lang w:val="lv-LV"/>
              </w:rPr>
              <w:t>)</w:t>
            </w:r>
            <w:r w:rsidR="003A2252" w:rsidRPr="00F43C58">
              <w:rPr>
                <w:lang w:val="lv-LV"/>
              </w:rPr>
              <w:t xml:space="preserve"> apmaiņu starp organizācijām un indivīdiem donorvalstīs un saņēmējvalstī</w:t>
            </w:r>
          </w:p>
        </w:tc>
        <w:tc>
          <w:tcPr>
            <w:tcW w:w="959" w:type="pct"/>
            <w:shd w:val="clear" w:color="auto" w:fill="auto"/>
          </w:tcPr>
          <w:p w14:paraId="2C37A026" w14:textId="77777777" w:rsidR="00A22539" w:rsidRPr="00F43C58" w:rsidRDefault="00723137" w:rsidP="006B5A92">
            <w:pPr>
              <w:spacing w:after="0" w:line="240" w:lineRule="auto"/>
              <w:rPr>
                <w:lang w:val="lv-LV"/>
              </w:rPr>
            </w:pPr>
            <w:r w:rsidRPr="00F43C58">
              <w:rPr>
                <w:lang w:val="lv-LV"/>
              </w:rPr>
              <w:t>Iedzīvotāji un dažādas institūcijas, kas gūst labumu no atbalstītajiem projektiem</w:t>
            </w:r>
          </w:p>
        </w:tc>
        <w:tc>
          <w:tcPr>
            <w:tcW w:w="547" w:type="pct"/>
            <w:vMerge w:val="restart"/>
          </w:tcPr>
          <w:p w14:paraId="6D07A08D" w14:textId="77777777" w:rsidR="00A22539" w:rsidRPr="00F43C58" w:rsidRDefault="00A22539" w:rsidP="006B5A92">
            <w:pPr>
              <w:spacing w:after="0" w:line="240" w:lineRule="auto"/>
              <w:jc w:val="both"/>
              <w:rPr>
                <w:i/>
                <w:color w:val="808080"/>
                <w:lang w:val="lv-LV"/>
              </w:rPr>
            </w:pPr>
          </w:p>
        </w:tc>
      </w:tr>
      <w:tr w:rsidR="00A22539" w:rsidRPr="00ED37F4" w14:paraId="02AA7C99" w14:textId="77777777" w:rsidTr="00A22539">
        <w:tc>
          <w:tcPr>
            <w:tcW w:w="274" w:type="pct"/>
            <w:tcBorders>
              <w:top w:val="single" w:sz="4" w:space="0" w:color="auto"/>
              <w:left w:val="single" w:sz="4" w:space="0" w:color="auto"/>
              <w:bottom w:val="single" w:sz="4" w:space="0" w:color="auto"/>
              <w:right w:val="single" w:sz="4" w:space="0" w:color="auto"/>
            </w:tcBorders>
            <w:shd w:val="clear" w:color="auto" w:fill="F2F2F2"/>
          </w:tcPr>
          <w:p w14:paraId="22F8EAC2" w14:textId="77777777" w:rsidR="00A22539" w:rsidRPr="00F43C58" w:rsidRDefault="00B4799E" w:rsidP="006B5A92">
            <w:pPr>
              <w:spacing w:after="0" w:line="240" w:lineRule="auto"/>
              <w:jc w:val="center"/>
              <w:rPr>
                <w:lang w:val="lv-LV"/>
              </w:rPr>
            </w:pPr>
            <w:r w:rsidRPr="00F43C58">
              <w:rPr>
                <w:lang w:val="lv-LV"/>
              </w:rPr>
              <w:t>8</w:t>
            </w:r>
          </w:p>
        </w:tc>
        <w:tc>
          <w:tcPr>
            <w:tcW w:w="1232" w:type="pct"/>
            <w:tcBorders>
              <w:left w:val="single" w:sz="4" w:space="0" w:color="auto"/>
            </w:tcBorders>
            <w:shd w:val="clear" w:color="auto" w:fill="auto"/>
          </w:tcPr>
          <w:p w14:paraId="4252DF8E" w14:textId="77777777" w:rsidR="00A22539" w:rsidRPr="00F43C58" w:rsidRDefault="00723137" w:rsidP="00723137">
            <w:pPr>
              <w:spacing w:after="0" w:line="240" w:lineRule="auto"/>
              <w:jc w:val="both"/>
              <w:rPr>
                <w:lang w:val="lv-LV"/>
              </w:rPr>
            </w:pPr>
            <w:r w:rsidRPr="00F43C58">
              <w:rPr>
                <w:lang w:val="lv-LV"/>
              </w:rPr>
              <w:t>Reģionālās (EEZ</w:t>
            </w:r>
            <w:r w:rsidR="00A22539" w:rsidRPr="00F43C58">
              <w:rPr>
                <w:lang w:val="lv-LV"/>
              </w:rPr>
              <w:t xml:space="preserve">) </w:t>
            </w:r>
            <w:r w:rsidRPr="00F43C58">
              <w:rPr>
                <w:lang w:val="lv-LV"/>
              </w:rPr>
              <w:t>pilsoniskās sabiedrības iniciatīvas</w:t>
            </w:r>
          </w:p>
        </w:tc>
        <w:tc>
          <w:tcPr>
            <w:tcW w:w="754" w:type="pct"/>
            <w:shd w:val="clear" w:color="auto" w:fill="auto"/>
          </w:tcPr>
          <w:p w14:paraId="00572494" w14:textId="77777777" w:rsidR="00A22539" w:rsidRPr="00F43C58" w:rsidRDefault="00723137" w:rsidP="00723137">
            <w:pPr>
              <w:jc w:val="both"/>
              <w:rPr>
                <w:lang w:val="lv-LV"/>
              </w:rPr>
            </w:pPr>
            <w:r w:rsidRPr="00F43C58">
              <w:rPr>
                <w:lang w:val="lv-LV"/>
              </w:rPr>
              <w:t>Stiprināta reģionālā (pārrobežu) sadarbība pilsoniskās sabiedrības sektorā</w:t>
            </w:r>
          </w:p>
        </w:tc>
        <w:tc>
          <w:tcPr>
            <w:tcW w:w="1233" w:type="pct"/>
            <w:shd w:val="clear" w:color="auto" w:fill="auto"/>
          </w:tcPr>
          <w:p w14:paraId="2A22FB03" w14:textId="5FC58A87" w:rsidR="00A22539" w:rsidRPr="00F43C58" w:rsidRDefault="00E8775B" w:rsidP="00C33BCC">
            <w:pPr>
              <w:spacing w:after="0" w:line="240" w:lineRule="auto"/>
              <w:rPr>
                <w:lang w:val="lv-LV"/>
              </w:rPr>
            </w:pPr>
            <w:r>
              <w:rPr>
                <w:lang w:val="lv-LV"/>
              </w:rPr>
              <w:t>NVO</w:t>
            </w:r>
            <w:r w:rsidR="00C33BCC">
              <w:rPr>
                <w:lang w:val="lv-LV"/>
              </w:rPr>
              <w:t xml:space="preserve"> </w:t>
            </w:r>
            <w:r w:rsidR="00723137" w:rsidRPr="00F43C58">
              <w:rPr>
                <w:lang w:val="lv-LV"/>
              </w:rPr>
              <w:t>un citu institūciju eksperti</w:t>
            </w:r>
          </w:p>
        </w:tc>
        <w:tc>
          <w:tcPr>
            <w:tcW w:w="959" w:type="pct"/>
            <w:shd w:val="clear" w:color="auto" w:fill="auto"/>
          </w:tcPr>
          <w:p w14:paraId="1B04733E" w14:textId="77777777" w:rsidR="00A22539" w:rsidRPr="00F43C58" w:rsidRDefault="00EB664E" w:rsidP="006B5A92">
            <w:pPr>
              <w:spacing w:after="0" w:line="240" w:lineRule="auto"/>
              <w:rPr>
                <w:lang w:val="lv-LV"/>
              </w:rPr>
            </w:pPr>
            <w:r>
              <w:rPr>
                <w:lang w:val="lv-LV"/>
              </w:rPr>
              <w:t xml:space="preserve">Pilsoniskās sabiedrības </w:t>
            </w:r>
            <w:r w:rsidR="004A0877">
              <w:rPr>
                <w:lang w:val="lv-LV"/>
              </w:rPr>
              <w:t>organizāciju</w:t>
            </w:r>
            <w:r>
              <w:rPr>
                <w:lang w:val="lv-LV"/>
              </w:rPr>
              <w:t xml:space="preserve"> </w:t>
            </w:r>
            <w:r w:rsidR="00723137" w:rsidRPr="00F43C58">
              <w:rPr>
                <w:lang w:val="lv-LV"/>
              </w:rPr>
              <w:t>eksperti, kas iesaistīti aktivitātēs, kuras īstenotas reģionālo pilsoniskās sabiedrības iniciatīvu ietvaros</w:t>
            </w:r>
          </w:p>
        </w:tc>
        <w:tc>
          <w:tcPr>
            <w:tcW w:w="547" w:type="pct"/>
            <w:vMerge/>
          </w:tcPr>
          <w:p w14:paraId="14C5C886" w14:textId="77777777" w:rsidR="00A22539" w:rsidRPr="00F43C58" w:rsidRDefault="00A22539" w:rsidP="006B5A92">
            <w:pPr>
              <w:spacing w:after="0" w:line="240" w:lineRule="auto"/>
              <w:jc w:val="both"/>
              <w:rPr>
                <w:i/>
                <w:color w:val="808080"/>
                <w:lang w:val="lv-LV"/>
              </w:rPr>
            </w:pPr>
          </w:p>
        </w:tc>
      </w:tr>
    </w:tbl>
    <w:p w14:paraId="617AAABC" w14:textId="77777777" w:rsidR="00457F47" w:rsidRPr="00F43C58" w:rsidRDefault="00723137" w:rsidP="000D6E64">
      <w:pPr>
        <w:pStyle w:val="Heading1"/>
      </w:pPr>
      <w:r w:rsidRPr="00F43C58">
        <w:t>PROBLĒMJAUTĀJUMI DISKUSIJAI</w:t>
      </w:r>
    </w:p>
    <w:p w14:paraId="39F4CE22" w14:textId="77777777" w:rsidR="00FC2526" w:rsidRPr="00FC2526" w:rsidRDefault="00723137" w:rsidP="00FC2526">
      <w:pPr>
        <w:numPr>
          <w:ilvl w:val="0"/>
          <w:numId w:val="8"/>
        </w:numPr>
        <w:spacing w:after="0" w:line="240" w:lineRule="auto"/>
        <w:jc w:val="both"/>
        <w:rPr>
          <w:lang w:val="lv-LV"/>
        </w:rPr>
      </w:pPr>
      <w:r w:rsidRPr="00FC2526">
        <w:rPr>
          <w:b/>
          <w:color w:val="000000"/>
          <w:lang w:val="lv-LV"/>
        </w:rPr>
        <w:t>Izaicinājumi</w:t>
      </w:r>
      <w:r w:rsidR="00457F47" w:rsidRPr="00FC2526">
        <w:rPr>
          <w:b/>
          <w:color w:val="000000"/>
          <w:lang w:val="lv-LV"/>
        </w:rPr>
        <w:t>:</w:t>
      </w:r>
      <w:r w:rsidR="00457F47" w:rsidRPr="00FC2526">
        <w:rPr>
          <w:color w:val="000000"/>
          <w:lang w:val="lv-LV"/>
        </w:rPr>
        <w:t xml:space="preserve"> </w:t>
      </w:r>
      <w:r w:rsidR="00FC2526" w:rsidRPr="00FC2526">
        <w:rPr>
          <w:lang w:val="lv-LV"/>
        </w:rPr>
        <w:t>Kādi ir galvenie jūsu organizācijas darbības jomas izaicinājumi, kuru risināšanai ir nepietiekams valsts vai ES finansējums?</w:t>
      </w:r>
    </w:p>
    <w:p w14:paraId="7F94C50A" w14:textId="77777777" w:rsidR="00723137" w:rsidRDefault="00723137" w:rsidP="00723137">
      <w:pPr>
        <w:numPr>
          <w:ilvl w:val="0"/>
          <w:numId w:val="8"/>
        </w:numPr>
        <w:spacing w:after="0" w:line="240" w:lineRule="auto"/>
        <w:jc w:val="both"/>
        <w:rPr>
          <w:color w:val="000000"/>
          <w:lang w:val="lv-LV"/>
        </w:rPr>
      </w:pPr>
      <w:r w:rsidRPr="00F43C58">
        <w:rPr>
          <w:b/>
          <w:color w:val="000000"/>
          <w:lang w:val="lv-LV"/>
        </w:rPr>
        <w:t>Jauniešu iekļaušana</w:t>
      </w:r>
      <w:r w:rsidR="00B73D38" w:rsidRPr="00F43C58">
        <w:rPr>
          <w:b/>
          <w:color w:val="000000"/>
          <w:lang w:val="lv-LV"/>
        </w:rPr>
        <w:t>:</w:t>
      </w:r>
      <w:r w:rsidR="00B73D38" w:rsidRPr="00F43C58">
        <w:rPr>
          <w:color w:val="000000"/>
          <w:lang w:val="lv-LV"/>
        </w:rPr>
        <w:t xml:space="preserve"> </w:t>
      </w:r>
      <w:r w:rsidR="00C10F5A">
        <w:rPr>
          <w:color w:val="000000"/>
          <w:lang w:val="lv-LV"/>
        </w:rPr>
        <w:t>Kā ar šīs programmas palīdzību palielināt jauniešu kā aktīvo</w:t>
      </w:r>
      <w:r w:rsidRPr="00F43C58">
        <w:rPr>
          <w:color w:val="000000"/>
          <w:lang w:val="lv-LV"/>
        </w:rPr>
        <w:t xml:space="preserve"> iedzīvotāju</w:t>
      </w:r>
      <w:r w:rsidR="00C10F5A">
        <w:rPr>
          <w:color w:val="000000"/>
          <w:lang w:val="lv-LV"/>
        </w:rPr>
        <w:t xml:space="preserve"> iesaisti </w:t>
      </w:r>
      <w:r w:rsidR="00C10F5A" w:rsidRPr="00F43C58">
        <w:rPr>
          <w:color w:val="000000"/>
          <w:lang w:val="lv-LV"/>
        </w:rPr>
        <w:t xml:space="preserve">identificēto </w:t>
      </w:r>
      <w:r w:rsidR="00C10F5A">
        <w:rPr>
          <w:color w:val="000000"/>
          <w:lang w:val="lv-LV"/>
        </w:rPr>
        <w:t>izaicinājumu risināšanai</w:t>
      </w:r>
      <w:r w:rsidRPr="00F43C58">
        <w:rPr>
          <w:color w:val="000000"/>
          <w:lang w:val="lv-LV"/>
        </w:rPr>
        <w:t>?</w:t>
      </w:r>
    </w:p>
    <w:p w14:paraId="095816E8" w14:textId="4BD39543" w:rsidR="00723137" w:rsidRPr="00F43C58" w:rsidRDefault="00723137" w:rsidP="00723137">
      <w:pPr>
        <w:numPr>
          <w:ilvl w:val="0"/>
          <w:numId w:val="8"/>
        </w:numPr>
        <w:spacing w:after="0"/>
        <w:jc w:val="both"/>
        <w:rPr>
          <w:color w:val="000000"/>
          <w:lang w:val="lv-LV"/>
        </w:rPr>
      </w:pPr>
      <w:r w:rsidRPr="00F43C58">
        <w:rPr>
          <w:b/>
          <w:color w:val="000000"/>
          <w:lang w:val="lv-LV"/>
        </w:rPr>
        <w:t>Kapacitātes stiprināšana</w:t>
      </w:r>
      <w:r w:rsidRPr="00F43C58">
        <w:rPr>
          <w:color w:val="000000"/>
          <w:lang w:val="lv-LV"/>
        </w:rPr>
        <w:t xml:space="preserve">: Pēc Jūsu domām, kādi ir galvenie NVO un pilsoniskās sabiedrības sektora kapacitātes </w:t>
      </w:r>
      <w:r w:rsidR="00E8775B">
        <w:rPr>
          <w:color w:val="000000"/>
          <w:lang w:val="lv-LV"/>
        </w:rPr>
        <w:t>vājākie elementi</w:t>
      </w:r>
      <w:r w:rsidRPr="00F43C58">
        <w:rPr>
          <w:color w:val="000000"/>
          <w:lang w:val="lv-LV"/>
        </w:rPr>
        <w:t xml:space="preserve"> Latvijā?</w:t>
      </w:r>
    </w:p>
    <w:p w14:paraId="137388F1" w14:textId="77777777" w:rsidR="00723137" w:rsidRPr="00F43C58" w:rsidRDefault="00C10F5A" w:rsidP="00723137">
      <w:pPr>
        <w:numPr>
          <w:ilvl w:val="0"/>
          <w:numId w:val="8"/>
        </w:numPr>
        <w:spacing w:after="0" w:line="240" w:lineRule="auto"/>
        <w:jc w:val="both"/>
        <w:rPr>
          <w:color w:val="000000"/>
          <w:lang w:val="lv-LV"/>
        </w:rPr>
      </w:pPr>
      <w:r>
        <w:rPr>
          <w:b/>
          <w:color w:val="000000"/>
          <w:lang w:val="lv-LV"/>
        </w:rPr>
        <w:t>Piedāvātie</w:t>
      </w:r>
      <w:r w:rsidR="00723137" w:rsidRPr="00F43C58">
        <w:rPr>
          <w:b/>
          <w:color w:val="000000"/>
          <w:lang w:val="lv-LV"/>
        </w:rPr>
        <w:t xml:space="preserve"> risinājumi</w:t>
      </w:r>
      <w:r w:rsidR="00723137" w:rsidRPr="00F43C58">
        <w:rPr>
          <w:color w:val="000000"/>
          <w:lang w:val="lv-LV"/>
        </w:rPr>
        <w:t xml:space="preserve">: Kādi </w:t>
      </w:r>
      <w:r>
        <w:rPr>
          <w:color w:val="000000"/>
          <w:lang w:val="lv-LV"/>
        </w:rPr>
        <w:t>būtu</w:t>
      </w:r>
      <w:r w:rsidR="00723137" w:rsidRPr="00F43C58">
        <w:rPr>
          <w:color w:val="000000"/>
          <w:lang w:val="lv-LV"/>
        </w:rPr>
        <w:t xml:space="preserve"> vispiemērotākie risinājumi </w:t>
      </w:r>
      <w:r>
        <w:rPr>
          <w:color w:val="000000"/>
          <w:lang w:val="lv-LV"/>
        </w:rPr>
        <w:t xml:space="preserve">šajā diskusiju dokumentā </w:t>
      </w:r>
      <w:r w:rsidR="00723137" w:rsidRPr="00F43C58">
        <w:rPr>
          <w:color w:val="000000"/>
          <w:lang w:val="lv-LV"/>
        </w:rPr>
        <w:t xml:space="preserve">identificēto </w:t>
      </w:r>
      <w:r>
        <w:rPr>
          <w:color w:val="000000"/>
          <w:lang w:val="lv-LV"/>
        </w:rPr>
        <w:t>izaicinājumu</w:t>
      </w:r>
      <w:r w:rsidR="00723137" w:rsidRPr="00F43C58">
        <w:rPr>
          <w:color w:val="000000"/>
          <w:lang w:val="lv-LV"/>
        </w:rPr>
        <w:t xml:space="preserve"> risināšanai?</w:t>
      </w:r>
    </w:p>
    <w:p w14:paraId="5259440A" w14:textId="77777777" w:rsidR="00FC2526" w:rsidRPr="00F43C58" w:rsidRDefault="00FC2526" w:rsidP="00816F89">
      <w:pPr>
        <w:spacing w:after="0" w:line="240" w:lineRule="auto"/>
        <w:jc w:val="both"/>
        <w:rPr>
          <w:i/>
          <w:color w:val="000000"/>
          <w:lang w:val="lv-LV"/>
        </w:rPr>
      </w:pPr>
    </w:p>
    <w:sectPr w:rsidR="00FC2526" w:rsidRPr="00F43C58" w:rsidSect="00ED37F4">
      <w:headerReference w:type="default" r:id="rId10"/>
      <w:footerReference w:type="default" r:id="rId11"/>
      <w:pgSz w:w="11906" w:h="16838"/>
      <w:pgMar w:top="816" w:right="1440" w:bottom="1440" w:left="1440" w:header="426" w:footer="72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514FBC" w16cid:durableId="1F848D16"/>
  <w16cid:commentId w16cid:paraId="166CA0A3" w16cid:durableId="1F848D6F"/>
  <w16cid:commentId w16cid:paraId="605B4FAD" w16cid:durableId="1F848D17"/>
  <w16cid:commentId w16cid:paraId="3C4EBEFB" w16cid:durableId="1F848D18"/>
  <w16cid:commentId w16cid:paraId="34016F9D" w16cid:durableId="1F848D19"/>
  <w16cid:commentId w16cid:paraId="36239800" w16cid:durableId="1F848DB3"/>
  <w16cid:commentId w16cid:paraId="0E8B1A29" w16cid:durableId="1F848DE1"/>
  <w16cid:commentId w16cid:paraId="4022338C" w16cid:durableId="1F848D1A"/>
  <w16cid:commentId w16cid:paraId="2228C230" w16cid:durableId="1F848D1B"/>
  <w16cid:commentId w16cid:paraId="10AE5FD1" w16cid:durableId="1F848E42"/>
  <w16cid:commentId w16cid:paraId="0C9E8722" w16cid:durableId="1F848E7E"/>
  <w16cid:commentId w16cid:paraId="38B2CB4A" w16cid:durableId="1F848E98"/>
  <w16cid:commentId w16cid:paraId="3E2DA89B" w16cid:durableId="1F848FC6"/>
  <w16cid:commentId w16cid:paraId="78AA0A29" w16cid:durableId="1F848D1C"/>
  <w16cid:commentId w16cid:paraId="2E54CE84" w16cid:durableId="1F848D1D"/>
  <w16cid:commentId w16cid:paraId="3CDD117F" w16cid:durableId="1F848D1E"/>
  <w16cid:commentId w16cid:paraId="07F508AF" w16cid:durableId="1F848D1F"/>
  <w16cid:commentId w16cid:paraId="6CAD8573" w16cid:durableId="1F848D20"/>
  <w16cid:commentId w16cid:paraId="2C02718F" w16cid:durableId="1F848D21"/>
  <w16cid:commentId w16cid:paraId="74CB3A43" w16cid:durableId="1F8490DB"/>
  <w16cid:commentId w16cid:paraId="338708D6" w16cid:durableId="1F849140"/>
  <w16cid:commentId w16cid:paraId="5E6AD42E" w16cid:durableId="1F848D22"/>
  <w16cid:commentId w16cid:paraId="435ACBC4" w16cid:durableId="1F849184"/>
  <w16cid:commentId w16cid:paraId="0D47FCFE" w16cid:durableId="1F848D23"/>
  <w16cid:commentId w16cid:paraId="1DC14723" w16cid:durableId="1F848D24"/>
  <w16cid:commentId w16cid:paraId="1AD2B94C" w16cid:durableId="1F8491F3"/>
  <w16cid:commentId w16cid:paraId="0FFBEB04" w16cid:durableId="1F848D25"/>
  <w16cid:commentId w16cid:paraId="4E73BB83" w16cid:durableId="1F848D26"/>
  <w16cid:commentId w16cid:paraId="48ED803C" w16cid:durableId="1F849249"/>
  <w16cid:commentId w16cid:paraId="5A5D49FF" w16cid:durableId="1F848D2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182158" w14:textId="77777777" w:rsidR="00F4508C" w:rsidRDefault="00F4508C" w:rsidP="00171696">
      <w:pPr>
        <w:spacing w:after="0" w:line="240" w:lineRule="auto"/>
      </w:pPr>
      <w:r>
        <w:separator/>
      </w:r>
    </w:p>
  </w:endnote>
  <w:endnote w:type="continuationSeparator" w:id="0">
    <w:p w14:paraId="7F776533" w14:textId="77777777" w:rsidR="00F4508C" w:rsidRDefault="00F4508C" w:rsidP="0017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59754" w14:textId="7C15B158" w:rsidR="00174A73" w:rsidRDefault="00ED37F4" w:rsidP="00F25C36">
    <w:pPr>
      <w:pStyle w:val="Footer"/>
      <w:tabs>
        <w:tab w:val="clear" w:pos="4513"/>
      </w:tabs>
    </w:pPr>
    <w:r>
      <w:rPr>
        <w:noProof/>
        <w:lang w:val="lv-LV" w:eastAsia="lv-LV"/>
      </w:rPr>
      <w:drawing>
        <wp:anchor distT="0" distB="0" distL="114300" distR="114300" simplePos="0" relativeHeight="251659264" behindDoc="1" locked="0" layoutInCell="1" allowOverlap="1" wp14:anchorId="55B07CFC" wp14:editId="71E5B6B3">
          <wp:simplePos x="0" y="0"/>
          <wp:positionH relativeFrom="column">
            <wp:posOffset>742950</wp:posOffset>
          </wp:positionH>
          <wp:positionV relativeFrom="paragraph">
            <wp:posOffset>15240</wp:posOffset>
          </wp:positionV>
          <wp:extent cx="4362450" cy="703692"/>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orcijs_logo_kopaa.PNG"/>
                  <pic:cNvPicPr/>
                </pic:nvPicPr>
                <pic:blipFill>
                  <a:blip r:embed="rId1">
                    <a:extLst>
                      <a:ext uri="{28A0092B-C50C-407E-A947-70E740481C1C}">
                        <a14:useLocalDpi xmlns:a14="http://schemas.microsoft.com/office/drawing/2010/main" val="0"/>
                      </a:ext>
                    </a:extLst>
                  </a:blip>
                  <a:stretch>
                    <a:fillRect/>
                  </a:stretch>
                </pic:blipFill>
                <pic:spPr>
                  <a:xfrm>
                    <a:off x="0" y="0"/>
                    <a:ext cx="4362450" cy="703692"/>
                  </a:xfrm>
                  <a:prstGeom prst="rect">
                    <a:avLst/>
                  </a:prstGeom>
                </pic:spPr>
              </pic:pic>
            </a:graphicData>
          </a:graphic>
          <wp14:sizeRelH relativeFrom="page">
            <wp14:pctWidth>0</wp14:pctWidth>
          </wp14:sizeRelH>
          <wp14:sizeRelV relativeFrom="page">
            <wp14:pctHeight>0</wp14:pctHeight>
          </wp14:sizeRelV>
        </wp:anchor>
      </w:drawing>
    </w:r>
    <w:r w:rsidR="007D3446">
      <w:rPr>
        <w:color w:val="808080"/>
        <w:sz w:val="18"/>
        <w:lang w:val="lv-LV"/>
      </w:rPr>
      <w:t>F</w:t>
    </w:r>
    <w:r w:rsidR="00174A73">
      <w:rPr>
        <w:color w:val="808080"/>
        <w:sz w:val="18"/>
        <w:lang w:val="lv-LV"/>
      </w:rPr>
      <w:t>onda operatori</w:t>
    </w:r>
    <w:r w:rsidR="00174A73" w:rsidRPr="00F25C36">
      <w:rPr>
        <w:color w:val="808080"/>
        <w:sz w:val="18"/>
      </w:rPr>
      <w:t>:</w:t>
    </w:r>
    <w:r w:rsidR="00174A73">
      <w:rPr>
        <w:color w:val="808080"/>
      </w:rPr>
      <w:t xml:space="preserve"> </w:t>
    </w:r>
    <w:r w:rsidR="00174A73" w:rsidRPr="00CB0780">
      <w:rPr>
        <w:i/>
      </w:rPr>
      <w:t xml:space="preserve">                                                                                           </w:t>
    </w:r>
    <w:r w:rsidR="00174A73">
      <w:rPr>
        <w:i/>
      </w:rPr>
      <w:t xml:space="preserve">           </w:t>
    </w:r>
    <w:r w:rsidR="007D3446">
      <w:rPr>
        <w:i/>
        <w:lang w:val="lv-LV"/>
      </w:rPr>
      <w:t xml:space="preserve">                            </w:t>
    </w:r>
    <w:r w:rsidR="00174A73">
      <w:rPr>
        <w:i/>
      </w:rPr>
      <w:t xml:space="preserve">    </w:t>
    </w:r>
    <w:r w:rsidR="007D3446">
      <w:rPr>
        <w:i/>
      </w:rPr>
      <w:t xml:space="preserve">                   </w:t>
    </w:r>
    <w:r w:rsidR="00174A73">
      <w:fldChar w:fldCharType="begin"/>
    </w:r>
    <w:r w:rsidR="00174A73">
      <w:instrText xml:space="preserve"> PAGE   \* MERGEFORMAT </w:instrText>
    </w:r>
    <w:r w:rsidR="00174A73">
      <w:fldChar w:fldCharType="separate"/>
    </w:r>
    <w:r w:rsidR="007D3446">
      <w:rPr>
        <w:noProof/>
      </w:rPr>
      <w:t>2</w:t>
    </w:r>
    <w:r w:rsidR="00174A7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6F9AC6" w14:textId="77777777" w:rsidR="00F4508C" w:rsidRDefault="00F4508C" w:rsidP="00171696">
      <w:pPr>
        <w:spacing w:after="0" w:line="240" w:lineRule="auto"/>
      </w:pPr>
      <w:r>
        <w:separator/>
      </w:r>
    </w:p>
  </w:footnote>
  <w:footnote w:type="continuationSeparator" w:id="0">
    <w:p w14:paraId="150E4DD8" w14:textId="77777777" w:rsidR="00F4508C" w:rsidRDefault="00F4508C" w:rsidP="00171696">
      <w:pPr>
        <w:spacing w:after="0" w:line="240" w:lineRule="auto"/>
      </w:pPr>
      <w:r>
        <w:continuationSeparator/>
      </w:r>
    </w:p>
  </w:footnote>
  <w:footnote w:id="1">
    <w:p w14:paraId="7FE940BC" w14:textId="77777777" w:rsidR="00174A73" w:rsidRPr="006827F4" w:rsidRDefault="00174A73" w:rsidP="00D063C7">
      <w:pPr>
        <w:pStyle w:val="FootnoteText"/>
        <w:spacing w:after="0"/>
        <w:rPr>
          <w:lang w:val="lv-LV"/>
        </w:rPr>
      </w:pPr>
      <w:r>
        <w:rPr>
          <w:rStyle w:val="FootnoteReference"/>
        </w:rPr>
        <w:footnoteRef/>
      </w:r>
      <w:r>
        <w:rPr>
          <w:lang w:val="lv-LV"/>
        </w:rPr>
        <w:t xml:space="preserve"> Vairāk informācijas par</w:t>
      </w:r>
      <w:r>
        <w:t xml:space="preserve"> EEZ un Norvēģijas grantiem</w:t>
      </w:r>
      <w:r w:rsidRPr="006827F4">
        <w:t xml:space="preserve"> 2014-2021</w:t>
      </w:r>
      <w:r>
        <w:rPr>
          <w:lang w:val="lv-LV"/>
        </w:rPr>
        <w:t xml:space="preserve"> var atrast šeit: </w:t>
      </w:r>
      <w:r w:rsidRPr="006827F4">
        <w:t>www.eeagrants.org</w:t>
      </w:r>
    </w:p>
  </w:footnote>
  <w:footnote w:id="2">
    <w:p w14:paraId="32657006" w14:textId="77777777" w:rsidR="00174A73" w:rsidRPr="00871FF0" w:rsidRDefault="00174A73" w:rsidP="005C0B77">
      <w:pPr>
        <w:pStyle w:val="FootnoteText"/>
        <w:spacing w:after="0"/>
        <w:rPr>
          <w:lang w:val="lv-LV"/>
        </w:rPr>
      </w:pPr>
      <w:r>
        <w:rPr>
          <w:rStyle w:val="FootnoteReference"/>
        </w:rPr>
        <w:footnoteRef/>
      </w:r>
      <w:r>
        <w:t xml:space="preserve"> </w:t>
      </w:r>
      <w:r>
        <w:rPr>
          <w:lang w:val="lv-LV"/>
        </w:rPr>
        <w:t xml:space="preserve">Finanšu Instrumentu birojs </w:t>
      </w:r>
      <w:r>
        <w:t>(F</w:t>
      </w:r>
      <w:r>
        <w:rPr>
          <w:lang w:val="lv-LV"/>
        </w:rPr>
        <w:t>IB), EEZ un Norvēģijas grantu sekretariāts Briselē</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2AE93" w14:textId="77777777" w:rsidR="00174A73" w:rsidRPr="00723137" w:rsidRDefault="00174A73" w:rsidP="000234B7">
    <w:pPr>
      <w:pStyle w:val="Header"/>
      <w:spacing w:after="120"/>
      <w:jc w:val="center"/>
      <w:rPr>
        <w:sz w:val="18"/>
        <w:lang w:val="lv-LV"/>
      </w:rPr>
    </w:pPr>
    <w:r>
      <w:rPr>
        <w:sz w:val="18"/>
        <w:lang w:val="lv-LV"/>
      </w:rPr>
      <w:t>Diskusiju dokuments iesaistīto pušu konsultācijām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514"/>
    <w:multiLevelType w:val="hybridMultilevel"/>
    <w:tmpl w:val="BDCCD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E10F87"/>
    <w:multiLevelType w:val="hybridMultilevel"/>
    <w:tmpl w:val="60609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97454B"/>
    <w:multiLevelType w:val="multilevel"/>
    <w:tmpl w:val="B26EAFB4"/>
    <w:lvl w:ilvl="0">
      <w:start w:val="1"/>
      <w:numFmt w:val="decimal"/>
      <w:lvlText w:val="%1"/>
      <w:lvlJc w:val="left"/>
      <w:pPr>
        <w:tabs>
          <w:tab w:val="num" w:pos="432"/>
        </w:tabs>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7B83E47"/>
    <w:multiLevelType w:val="hybridMultilevel"/>
    <w:tmpl w:val="D08E50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ADC3AC2"/>
    <w:multiLevelType w:val="hybridMultilevel"/>
    <w:tmpl w:val="4644077A"/>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F3215FA"/>
    <w:multiLevelType w:val="hybridMultilevel"/>
    <w:tmpl w:val="73FCE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8039F6"/>
    <w:multiLevelType w:val="hybridMultilevel"/>
    <w:tmpl w:val="3BE4E664"/>
    <w:lvl w:ilvl="0" w:tplc="A976B44C">
      <w:start w:val="1"/>
      <w:numFmt w:val="decimal"/>
      <w:lvlText w:val="%1."/>
      <w:lvlJc w:val="left"/>
      <w:pPr>
        <w:ind w:left="936"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7">
    <w:nsid w:val="14CE55B8"/>
    <w:multiLevelType w:val="hybridMultilevel"/>
    <w:tmpl w:val="1052863C"/>
    <w:lvl w:ilvl="0" w:tplc="44001AA0">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5C1451D"/>
    <w:multiLevelType w:val="hybridMultilevel"/>
    <w:tmpl w:val="E5E4F122"/>
    <w:lvl w:ilvl="0" w:tplc="F38CEBCE">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3AB3163D"/>
    <w:multiLevelType w:val="hybridMultilevel"/>
    <w:tmpl w:val="D8D050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E771899"/>
    <w:multiLevelType w:val="hybridMultilevel"/>
    <w:tmpl w:val="D0DC072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nsid w:val="419F31C6"/>
    <w:multiLevelType w:val="hybridMultilevel"/>
    <w:tmpl w:val="BD6C84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8534FE4"/>
    <w:multiLevelType w:val="hybridMultilevel"/>
    <w:tmpl w:val="92E03D4C"/>
    <w:lvl w:ilvl="0" w:tplc="E2708714">
      <w:start w:val="1"/>
      <w:numFmt w:val="decimal"/>
      <w:lvlText w:val="%1."/>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nsid w:val="4BB761F4"/>
    <w:multiLevelType w:val="hybridMultilevel"/>
    <w:tmpl w:val="1052863C"/>
    <w:lvl w:ilvl="0" w:tplc="44001AA0">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A610357"/>
    <w:multiLevelType w:val="hybridMultilevel"/>
    <w:tmpl w:val="5A68D53E"/>
    <w:lvl w:ilvl="0" w:tplc="0809000F">
      <w:start w:val="1"/>
      <w:numFmt w:val="decimal"/>
      <w:lvlText w:val="%1."/>
      <w:lvlJc w:val="left"/>
      <w:pPr>
        <w:ind w:left="360" w:hanging="360"/>
      </w:pPr>
    </w:lvl>
    <w:lvl w:ilvl="1" w:tplc="08090019">
      <w:start w:val="1"/>
      <w:numFmt w:val="lowerLetter"/>
      <w:lvlText w:val="%2."/>
      <w:lvlJc w:val="left"/>
      <w:pPr>
        <w:ind w:left="360" w:hanging="360"/>
      </w:pPr>
    </w:lvl>
    <w:lvl w:ilvl="2" w:tplc="67D00752">
      <w:start w:val="3"/>
      <w:numFmt w:val="bullet"/>
      <w:lvlText w:val="-"/>
      <w:lvlJc w:val="left"/>
      <w:pPr>
        <w:ind w:left="786" w:hanging="360"/>
      </w:pPr>
      <w:rPr>
        <w:rFonts w:ascii="Calibri" w:eastAsia="Calibri" w:hAnsi="Calibri" w:cs="Calibri"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5BCA1B18"/>
    <w:multiLevelType w:val="hybridMultilevel"/>
    <w:tmpl w:val="16B8F80E"/>
    <w:lvl w:ilvl="0" w:tplc="E5E64A80">
      <w:start w:val="1"/>
      <w:numFmt w:val="decimal"/>
      <w:pStyle w:val="Heading1"/>
      <w:lvlText w:val="%1."/>
      <w:lvlJc w:val="left"/>
      <w:pPr>
        <w:ind w:left="1146" w:hanging="360"/>
      </w:pPr>
    </w:lvl>
    <w:lvl w:ilvl="1" w:tplc="04260019" w:tentative="1">
      <w:start w:val="1"/>
      <w:numFmt w:val="lowerLetter"/>
      <w:lvlText w:val="%2."/>
      <w:lvlJc w:val="left"/>
      <w:pPr>
        <w:ind w:left="1866" w:hanging="360"/>
      </w:pPr>
    </w:lvl>
    <w:lvl w:ilvl="2" w:tplc="0426001B" w:tentative="1">
      <w:start w:val="1"/>
      <w:numFmt w:val="lowerRoman"/>
      <w:lvlText w:val="%3."/>
      <w:lvlJc w:val="right"/>
      <w:pPr>
        <w:ind w:left="2586" w:hanging="180"/>
      </w:pPr>
    </w:lvl>
    <w:lvl w:ilvl="3" w:tplc="0426000F" w:tentative="1">
      <w:start w:val="1"/>
      <w:numFmt w:val="decimal"/>
      <w:lvlText w:val="%4."/>
      <w:lvlJc w:val="left"/>
      <w:pPr>
        <w:ind w:left="3306" w:hanging="360"/>
      </w:pPr>
    </w:lvl>
    <w:lvl w:ilvl="4" w:tplc="04260019" w:tentative="1">
      <w:start w:val="1"/>
      <w:numFmt w:val="lowerLetter"/>
      <w:lvlText w:val="%5."/>
      <w:lvlJc w:val="left"/>
      <w:pPr>
        <w:ind w:left="4026" w:hanging="360"/>
      </w:pPr>
    </w:lvl>
    <w:lvl w:ilvl="5" w:tplc="0426001B" w:tentative="1">
      <w:start w:val="1"/>
      <w:numFmt w:val="lowerRoman"/>
      <w:lvlText w:val="%6."/>
      <w:lvlJc w:val="right"/>
      <w:pPr>
        <w:ind w:left="4746" w:hanging="180"/>
      </w:pPr>
    </w:lvl>
    <w:lvl w:ilvl="6" w:tplc="0426000F" w:tentative="1">
      <w:start w:val="1"/>
      <w:numFmt w:val="decimal"/>
      <w:lvlText w:val="%7."/>
      <w:lvlJc w:val="left"/>
      <w:pPr>
        <w:ind w:left="5466" w:hanging="360"/>
      </w:pPr>
    </w:lvl>
    <w:lvl w:ilvl="7" w:tplc="04260019" w:tentative="1">
      <w:start w:val="1"/>
      <w:numFmt w:val="lowerLetter"/>
      <w:lvlText w:val="%8."/>
      <w:lvlJc w:val="left"/>
      <w:pPr>
        <w:ind w:left="6186" w:hanging="360"/>
      </w:pPr>
    </w:lvl>
    <w:lvl w:ilvl="8" w:tplc="0426001B" w:tentative="1">
      <w:start w:val="1"/>
      <w:numFmt w:val="lowerRoman"/>
      <w:lvlText w:val="%9."/>
      <w:lvlJc w:val="right"/>
      <w:pPr>
        <w:ind w:left="6906" w:hanging="180"/>
      </w:pPr>
    </w:lvl>
  </w:abstractNum>
  <w:abstractNum w:abstractNumId="16">
    <w:nsid w:val="64804853"/>
    <w:multiLevelType w:val="hybridMultilevel"/>
    <w:tmpl w:val="D2FE0EAE"/>
    <w:lvl w:ilvl="0" w:tplc="04260001">
      <w:start w:val="1"/>
      <w:numFmt w:val="bullet"/>
      <w:lvlText w:val=""/>
      <w:lvlJc w:val="left"/>
      <w:pPr>
        <w:ind w:left="763" w:hanging="360"/>
      </w:pPr>
      <w:rPr>
        <w:rFonts w:ascii="Symbol" w:hAnsi="Symbol" w:hint="default"/>
      </w:rPr>
    </w:lvl>
    <w:lvl w:ilvl="1" w:tplc="04260003" w:tentative="1">
      <w:start w:val="1"/>
      <w:numFmt w:val="bullet"/>
      <w:lvlText w:val="o"/>
      <w:lvlJc w:val="left"/>
      <w:pPr>
        <w:ind w:left="1483" w:hanging="360"/>
      </w:pPr>
      <w:rPr>
        <w:rFonts w:ascii="Courier New" w:hAnsi="Courier New" w:cs="Courier New" w:hint="default"/>
      </w:rPr>
    </w:lvl>
    <w:lvl w:ilvl="2" w:tplc="04260005" w:tentative="1">
      <w:start w:val="1"/>
      <w:numFmt w:val="bullet"/>
      <w:lvlText w:val=""/>
      <w:lvlJc w:val="left"/>
      <w:pPr>
        <w:ind w:left="2203" w:hanging="360"/>
      </w:pPr>
      <w:rPr>
        <w:rFonts w:ascii="Wingdings" w:hAnsi="Wingdings" w:hint="default"/>
      </w:rPr>
    </w:lvl>
    <w:lvl w:ilvl="3" w:tplc="04260001" w:tentative="1">
      <w:start w:val="1"/>
      <w:numFmt w:val="bullet"/>
      <w:lvlText w:val=""/>
      <w:lvlJc w:val="left"/>
      <w:pPr>
        <w:ind w:left="2923" w:hanging="360"/>
      </w:pPr>
      <w:rPr>
        <w:rFonts w:ascii="Symbol" w:hAnsi="Symbol" w:hint="default"/>
      </w:rPr>
    </w:lvl>
    <w:lvl w:ilvl="4" w:tplc="04260003" w:tentative="1">
      <w:start w:val="1"/>
      <w:numFmt w:val="bullet"/>
      <w:lvlText w:val="o"/>
      <w:lvlJc w:val="left"/>
      <w:pPr>
        <w:ind w:left="3643" w:hanging="360"/>
      </w:pPr>
      <w:rPr>
        <w:rFonts w:ascii="Courier New" w:hAnsi="Courier New" w:cs="Courier New" w:hint="default"/>
      </w:rPr>
    </w:lvl>
    <w:lvl w:ilvl="5" w:tplc="04260005" w:tentative="1">
      <w:start w:val="1"/>
      <w:numFmt w:val="bullet"/>
      <w:lvlText w:val=""/>
      <w:lvlJc w:val="left"/>
      <w:pPr>
        <w:ind w:left="4363" w:hanging="360"/>
      </w:pPr>
      <w:rPr>
        <w:rFonts w:ascii="Wingdings" w:hAnsi="Wingdings" w:hint="default"/>
      </w:rPr>
    </w:lvl>
    <w:lvl w:ilvl="6" w:tplc="04260001" w:tentative="1">
      <w:start w:val="1"/>
      <w:numFmt w:val="bullet"/>
      <w:lvlText w:val=""/>
      <w:lvlJc w:val="left"/>
      <w:pPr>
        <w:ind w:left="5083" w:hanging="360"/>
      </w:pPr>
      <w:rPr>
        <w:rFonts w:ascii="Symbol" w:hAnsi="Symbol" w:hint="default"/>
      </w:rPr>
    </w:lvl>
    <w:lvl w:ilvl="7" w:tplc="04260003" w:tentative="1">
      <w:start w:val="1"/>
      <w:numFmt w:val="bullet"/>
      <w:lvlText w:val="o"/>
      <w:lvlJc w:val="left"/>
      <w:pPr>
        <w:ind w:left="5803" w:hanging="360"/>
      </w:pPr>
      <w:rPr>
        <w:rFonts w:ascii="Courier New" w:hAnsi="Courier New" w:cs="Courier New" w:hint="default"/>
      </w:rPr>
    </w:lvl>
    <w:lvl w:ilvl="8" w:tplc="04260005" w:tentative="1">
      <w:start w:val="1"/>
      <w:numFmt w:val="bullet"/>
      <w:lvlText w:val=""/>
      <w:lvlJc w:val="left"/>
      <w:pPr>
        <w:ind w:left="6523" w:hanging="360"/>
      </w:pPr>
      <w:rPr>
        <w:rFonts w:ascii="Wingdings" w:hAnsi="Wingdings" w:hint="default"/>
      </w:rPr>
    </w:lvl>
  </w:abstractNum>
  <w:abstractNum w:abstractNumId="17">
    <w:nsid w:val="78D675B1"/>
    <w:multiLevelType w:val="hybridMultilevel"/>
    <w:tmpl w:val="0714042E"/>
    <w:lvl w:ilvl="0" w:tplc="60D67500">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4"/>
  </w:num>
  <w:num w:numId="4">
    <w:abstractNumId w:val="6"/>
  </w:num>
  <w:num w:numId="5">
    <w:abstractNumId w:val="5"/>
  </w:num>
  <w:num w:numId="6">
    <w:abstractNumId w:val="17"/>
  </w:num>
  <w:num w:numId="7">
    <w:abstractNumId w:val="7"/>
  </w:num>
  <w:num w:numId="8">
    <w:abstractNumId w:val="9"/>
  </w:num>
  <w:num w:numId="9">
    <w:abstractNumId w:val="11"/>
  </w:num>
  <w:num w:numId="10">
    <w:abstractNumId w:val="3"/>
  </w:num>
  <w:num w:numId="11">
    <w:abstractNumId w:val="13"/>
  </w:num>
  <w:num w:numId="12">
    <w:abstractNumId w:val="1"/>
  </w:num>
  <w:num w:numId="13">
    <w:abstractNumId w:val="2"/>
  </w:num>
  <w:num w:numId="14">
    <w:abstractNumId w:val="2"/>
  </w:num>
  <w:num w:numId="15">
    <w:abstractNumId w:val="10"/>
  </w:num>
  <w:num w:numId="16">
    <w:abstractNumId w:val="16"/>
  </w:num>
  <w:num w:numId="17">
    <w:abstractNumId w:val="0"/>
  </w:num>
  <w:num w:numId="18">
    <w:abstractNumId w:val="8"/>
  </w:num>
  <w:num w:numId="19">
    <w:abstractNumId w:val="5"/>
  </w:num>
  <w:num w:numId="20">
    <w:abstractNumId w:val="12"/>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2BA"/>
    <w:rsid w:val="00003138"/>
    <w:rsid w:val="00016839"/>
    <w:rsid w:val="000234B7"/>
    <w:rsid w:val="00031DF3"/>
    <w:rsid w:val="000328B4"/>
    <w:rsid w:val="00036DD4"/>
    <w:rsid w:val="0004409F"/>
    <w:rsid w:val="00054FCF"/>
    <w:rsid w:val="0005657C"/>
    <w:rsid w:val="00057FF0"/>
    <w:rsid w:val="000604E7"/>
    <w:rsid w:val="0006138B"/>
    <w:rsid w:val="000666DF"/>
    <w:rsid w:val="000715E7"/>
    <w:rsid w:val="0007372E"/>
    <w:rsid w:val="00076458"/>
    <w:rsid w:val="00082C11"/>
    <w:rsid w:val="00086709"/>
    <w:rsid w:val="000A4B59"/>
    <w:rsid w:val="000B090F"/>
    <w:rsid w:val="000C1EA6"/>
    <w:rsid w:val="000C5339"/>
    <w:rsid w:val="000D6E64"/>
    <w:rsid w:val="000E0629"/>
    <w:rsid w:val="000E5C7B"/>
    <w:rsid w:val="000F18D9"/>
    <w:rsid w:val="001157EB"/>
    <w:rsid w:val="001230B5"/>
    <w:rsid w:val="001317AF"/>
    <w:rsid w:val="00146C1C"/>
    <w:rsid w:val="00152335"/>
    <w:rsid w:val="00163C5A"/>
    <w:rsid w:val="00171696"/>
    <w:rsid w:val="00174625"/>
    <w:rsid w:val="00174A73"/>
    <w:rsid w:val="00190B23"/>
    <w:rsid w:val="0019225B"/>
    <w:rsid w:val="00195211"/>
    <w:rsid w:val="001A0992"/>
    <w:rsid w:val="001A3185"/>
    <w:rsid w:val="001B44F9"/>
    <w:rsid w:val="001D1221"/>
    <w:rsid w:val="001E1C0F"/>
    <w:rsid w:val="001E5BA8"/>
    <w:rsid w:val="001E66BA"/>
    <w:rsid w:val="001E790E"/>
    <w:rsid w:val="001F2E33"/>
    <w:rsid w:val="001F3A58"/>
    <w:rsid w:val="00200704"/>
    <w:rsid w:val="00200834"/>
    <w:rsid w:val="00201C98"/>
    <w:rsid w:val="0020393C"/>
    <w:rsid w:val="002123BB"/>
    <w:rsid w:val="00216C1F"/>
    <w:rsid w:val="00224EDF"/>
    <w:rsid w:val="00227F04"/>
    <w:rsid w:val="0023107E"/>
    <w:rsid w:val="00237CC5"/>
    <w:rsid w:val="00237DBD"/>
    <w:rsid w:val="002513FC"/>
    <w:rsid w:val="00265F2B"/>
    <w:rsid w:val="00270BFD"/>
    <w:rsid w:val="00271AEA"/>
    <w:rsid w:val="002751EE"/>
    <w:rsid w:val="002758D4"/>
    <w:rsid w:val="00283C17"/>
    <w:rsid w:val="0028414D"/>
    <w:rsid w:val="00290C61"/>
    <w:rsid w:val="00292FD7"/>
    <w:rsid w:val="00295B6D"/>
    <w:rsid w:val="002A27B0"/>
    <w:rsid w:val="002A5BCE"/>
    <w:rsid w:val="002B3F84"/>
    <w:rsid w:val="002B64A4"/>
    <w:rsid w:val="002B6A6F"/>
    <w:rsid w:val="002C1A88"/>
    <w:rsid w:val="002C3901"/>
    <w:rsid w:val="002D7854"/>
    <w:rsid w:val="002E2D2A"/>
    <w:rsid w:val="002E4DDE"/>
    <w:rsid w:val="002E6ABF"/>
    <w:rsid w:val="002F3E89"/>
    <w:rsid w:val="002F52E0"/>
    <w:rsid w:val="00301A8C"/>
    <w:rsid w:val="00320CFF"/>
    <w:rsid w:val="003242BA"/>
    <w:rsid w:val="00326A83"/>
    <w:rsid w:val="00327925"/>
    <w:rsid w:val="0033536B"/>
    <w:rsid w:val="00344466"/>
    <w:rsid w:val="00347D1A"/>
    <w:rsid w:val="0035128F"/>
    <w:rsid w:val="0035173E"/>
    <w:rsid w:val="00354197"/>
    <w:rsid w:val="00356BFD"/>
    <w:rsid w:val="00362EB8"/>
    <w:rsid w:val="0036595B"/>
    <w:rsid w:val="00374ABA"/>
    <w:rsid w:val="00374D48"/>
    <w:rsid w:val="003834AF"/>
    <w:rsid w:val="00390538"/>
    <w:rsid w:val="0039645F"/>
    <w:rsid w:val="003A2252"/>
    <w:rsid w:val="003B2145"/>
    <w:rsid w:val="003B281D"/>
    <w:rsid w:val="003B3315"/>
    <w:rsid w:val="003B4078"/>
    <w:rsid w:val="003B421C"/>
    <w:rsid w:val="003C27E0"/>
    <w:rsid w:val="003C77A9"/>
    <w:rsid w:val="003D1549"/>
    <w:rsid w:val="003D1D4A"/>
    <w:rsid w:val="003D3AB9"/>
    <w:rsid w:val="003D793B"/>
    <w:rsid w:val="003E48E9"/>
    <w:rsid w:val="003F3D4F"/>
    <w:rsid w:val="003F54B9"/>
    <w:rsid w:val="004065C7"/>
    <w:rsid w:val="00413C0A"/>
    <w:rsid w:val="004256A6"/>
    <w:rsid w:val="0044662A"/>
    <w:rsid w:val="004549E0"/>
    <w:rsid w:val="00455CDB"/>
    <w:rsid w:val="00457F47"/>
    <w:rsid w:val="004633E7"/>
    <w:rsid w:val="00467432"/>
    <w:rsid w:val="00474B78"/>
    <w:rsid w:val="00484655"/>
    <w:rsid w:val="004A0877"/>
    <w:rsid w:val="004A12A8"/>
    <w:rsid w:val="004A3904"/>
    <w:rsid w:val="004A7205"/>
    <w:rsid w:val="004B0BD8"/>
    <w:rsid w:val="004C039D"/>
    <w:rsid w:val="004C1718"/>
    <w:rsid w:val="004C4EF1"/>
    <w:rsid w:val="004C50A0"/>
    <w:rsid w:val="004E1410"/>
    <w:rsid w:val="004F629C"/>
    <w:rsid w:val="004F6792"/>
    <w:rsid w:val="005163FE"/>
    <w:rsid w:val="005213FC"/>
    <w:rsid w:val="00523E0A"/>
    <w:rsid w:val="00525FF5"/>
    <w:rsid w:val="005357EF"/>
    <w:rsid w:val="0053731F"/>
    <w:rsid w:val="00545E74"/>
    <w:rsid w:val="00547DB2"/>
    <w:rsid w:val="00553315"/>
    <w:rsid w:val="00560462"/>
    <w:rsid w:val="00562BC3"/>
    <w:rsid w:val="005650AC"/>
    <w:rsid w:val="00577D35"/>
    <w:rsid w:val="00584DAA"/>
    <w:rsid w:val="00586B05"/>
    <w:rsid w:val="005A1B0F"/>
    <w:rsid w:val="005A71D5"/>
    <w:rsid w:val="005B3312"/>
    <w:rsid w:val="005B5A17"/>
    <w:rsid w:val="005B5C85"/>
    <w:rsid w:val="005C010F"/>
    <w:rsid w:val="005C0B77"/>
    <w:rsid w:val="005C2278"/>
    <w:rsid w:val="005C2E64"/>
    <w:rsid w:val="005D05EB"/>
    <w:rsid w:val="00616946"/>
    <w:rsid w:val="00624DD3"/>
    <w:rsid w:val="00630450"/>
    <w:rsid w:val="00635FDE"/>
    <w:rsid w:val="006408D4"/>
    <w:rsid w:val="00641A97"/>
    <w:rsid w:val="0064555D"/>
    <w:rsid w:val="00645F7A"/>
    <w:rsid w:val="006460A5"/>
    <w:rsid w:val="00650F92"/>
    <w:rsid w:val="0065684C"/>
    <w:rsid w:val="006571E0"/>
    <w:rsid w:val="00671263"/>
    <w:rsid w:val="0067710F"/>
    <w:rsid w:val="006827F4"/>
    <w:rsid w:val="0068332D"/>
    <w:rsid w:val="00683F35"/>
    <w:rsid w:val="0068551A"/>
    <w:rsid w:val="006860BB"/>
    <w:rsid w:val="00687D27"/>
    <w:rsid w:val="00691133"/>
    <w:rsid w:val="006A5972"/>
    <w:rsid w:val="006A69B6"/>
    <w:rsid w:val="006B20A2"/>
    <w:rsid w:val="006B526F"/>
    <w:rsid w:val="006B5A92"/>
    <w:rsid w:val="006D1124"/>
    <w:rsid w:val="006D2824"/>
    <w:rsid w:val="006D3D4F"/>
    <w:rsid w:val="006D459E"/>
    <w:rsid w:val="006D7CC2"/>
    <w:rsid w:val="006F1C43"/>
    <w:rsid w:val="006F2BEA"/>
    <w:rsid w:val="006F2D53"/>
    <w:rsid w:val="00701635"/>
    <w:rsid w:val="0070746C"/>
    <w:rsid w:val="00714699"/>
    <w:rsid w:val="00717721"/>
    <w:rsid w:val="00723137"/>
    <w:rsid w:val="0072698D"/>
    <w:rsid w:val="007307E3"/>
    <w:rsid w:val="00750CCE"/>
    <w:rsid w:val="00750D55"/>
    <w:rsid w:val="00751F92"/>
    <w:rsid w:val="00753099"/>
    <w:rsid w:val="00761E19"/>
    <w:rsid w:val="0077202F"/>
    <w:rsid w:val="00774234"/>
    <w:rsid w:val="00785FF1"/>
    <w:rsid w:val="007906F1"/>
    <w:rsid w:val="00790FBA"/>
    <w:rsid w:val="0079179F"/>
    <w:rsid w:val="00792667"/>
    <w:rsid w:val="007C7E18"/>
    <w:rsid w:val="007D1844"/>
    <w:rsid w:val="007D3446"/>
    <w:rsid w:val="007D65A6"/>
    <w:rsid w:val="007D72E4"/>
    <w:rsid w:val="007E2446"/>
    <w:rsid w:val="007E436C"/>
    <w:rsid w:val="007E4C8A"/>
    <w:rsid w:val="00801262"/>
    <w:rsid w:val="00811F4D"/>
    <w:rsid w:val="00816F89"/>
    <w:rsid w:val="00823B35"/>
    <w:rsid w:val="00826A35"/>
    <w:rsid w:val="0083014D"/>
    <w:rsid w:val="00857681"/>
    <w:rsid w:val="008622AE"/>
    <w:rsid w:val="008643A3"/>
    <w:rsid w:val="008668CF"/>
    <w:rsid w:val="00871FF0"/>
    <w:rsid w:val="0087527F"/>
    <w:rsid w:val="008814E1"/>
    <w:rsid w:val="008B175A"/>
    <w:rsid w:val="008D26C0"/>
    <w:rsid w:val="008D2EE4"/>
    <w:rsid w:val="008D6473"/>
    <w:rsid w:val="008E44D9"/>
    <w:rsid w:val="008F7580"/>
    <w:rsid w:val="009005B3"/>
    <w:rsid w:val="009013B2"/>
    <w:rsid w:val="00901E9F"/>
    <w:rsid w:val="00902E97"/>
    <w:rsid w:val="00907501"/>
    <w:rsid w:val="00916E29"/>
    <w:rsid w:val="00921BDA"/>
    <w:rsid w:val="00924D9C"/>
    <w:rsid w:val="00931177"/>
    <w:rsid w:val="00946A64"/>
    <w:rsid w:val="0095227F"/>
    <w:rsid w:val="00961267"/>
    <w:rsid w:val="00964814"/>
    <w:rsid w:val="00967424"/>
    <w:rsid w:val="00973DF6"/>
    <w:rsid w:val="00986011"/>
    <w:rsid w:val="00990E3A"/>
    <w:rsid w:val="00991AAB"/>
    <w:rsid w:val="00991EA3"/>
    <w:rsid w:val="00992D2B"/>
    <w:rsid w:val="009A1DD7"/>
    <w:rsid w:val="009A38BE"/>
    <w:rsid w:val="009D5307"/>
    <w:rsid w:val="009F24ED"/>
    <w:rsid w:val="00A00E53"/>
    <w:rsid w:val="00A01C25"/>
    <w:rsid w:val="00A05F11"/>
    <w:rsid w:val="00A06AF6"/>
    <w:rsid w:val="00A22539"/>
    <w:rsid w:val="00A32CEF"/>
    <w:rsid w:val="00A3577C"/>
    <w:rsid w:val="00A56085"/>
    <w:rsid w:val="00A64DA2"/>
    <w:rsid w:val="00A74128"/>
    <w:rsid w:val="00A86296"/>
    <w:rsid w:val="00A91751"/>
    <w:rsid w:val="00A917F2"/>
    <w:rsid w:val="00A96E00"/>
    <w:rsid w:val="00AA17CC"/>
    <w:rsid w:val="00AA26F6"/>
    <w:rsid w:val="00AB3F84"/>
    <w:rsid w:val="00AB49EA"/>
    <w:rsid w:val="00AC36CC"/>
    <w:rsid w:val="00AC3D8E"/>
    <w:rsid w:val="00AD2620"/>
    <w:rsid w:val="00AE14A6"/>
    <w:rsid w:val="00AE1EA0"/>
    <w:rsid w:val="00AE2604"/>
    <w:rsid w:val="00AE72B5"/>
    <w:rsid w:val="00AF7766"/>
    <w:rsid w:val="00B15F65"/>
    <w:rsid w:val="00B4326F"/>
    <w:rsid w:val="00B4799E"/>
    <w:rsid w:val="00B47ADC"/>
    <w:rsid w:val="00B616D5"/>
    <w:rsid w:val="00B62153"/>
    <w:rsid w:val="00B73D38"/>
    <w:rsid w:val="00B9053A"/>
    <w:rsid w:val="00B90D0F"/>
    <w:rsid w:val="00B91696"/>
    <w:rsid w:val="00B93685"/>
    <w:rsid w:val="00BA1980"/>
    <w:rsid w:val="00BA7874"/>
    <w:rsid w:val="00BB10AB"/>
    <w:rsid w:val="00BB2E3F"/>
    <w:rsid w:val="00BB71AB"/>
    <w:rsid w:val="00BC5BBC"/>
    <w:rsid w:val="00BF6F2D"/>
    <w:rsid w:val="00BF761B"/>
    <w:rsid w:val="00BF7813"/>
    <w:rsid w:val="00C009EA"/>
    <w:rsid w:val="00C10B66"/>
    <w:rsid w:val="00C10F5A"/>
    <w:rsid w:val="00C13D00"/>
    <w:rsid w:val="00C20C9F"/>
    <w:rsid w:val="00C30F69"/>
    <w:rsid w:val="00C339AE"/>
    <w:rsid w:val="00C33BCC"/>
    <w:rsid w:val="00C41D52"/>
    <w:rsid w:val="00C4530E"/>
    <w:rsid w:val="00C576D8"/>
    <w:rsid w:val="00C76291"/>
    <w:rsid w:val="00C81753"/>
    <w:rsid w:val="00CA5F92"/>
    <w:rsid w:val="00CB0780"/>
    <w:rsid w:val="00CB1CDD"/>
    <w:rsid w:val="00CB4D94"/>
    <w:rsid w:val="00CB4F5B"/>
    <w:rsid w:val="00CB520C"/>
    <w:rsid w:val="00CC5B24"/>
    <w:rsid w:val="00CC5F23"/>
    <w:rsid w:val="00CD65B3"/>
    <w:rsid w:val="00CD79A7"/>
    <w:rsid w:val="00CE3D39"/>
    <w:rsid w:val="00CF1756"/>
    <w:rsid w:val="00CF25B8"/>
    <w:rsid w:val="00CF6617"/>
    <w:rsid w:val="00CF6B8E"/>
    <w:rsid w:val="00D03143"/>
    <w:rsid w:val="00D063C7"/>
    <w:rsid w:val="00D21041"/>
    <w:rsid w:val="00D25C49"/>
    <w:rsid w:val="00D27DB0"/>
    <w:rsid w:val="00D32E65"/>
    <w:rsid w:val="00D55290"/>
    <w:rsid w:val="00D60384"/>
    <w:rsid w:val="00D90810"/>
    <w:rsid w:val="00D94B65"/>
    <w:rsid w:val="00DA09B2"/>
    <w:rsid w:val="00DA3E4D"/>
    <w:rsid w:val="00DA5ABE"/>
    <w:rsid w:val="00DB35D1"/>
    <w:rsid w:val="00DC5840"/>
    <w:rsid w:val="00DC6ECF"/>
    <w:rsid w:val="00DD5E28"/>
    <w:rsid w:val="00DE3D6B"/>
    <w:rsid w:val="00DE600E"/>
    <w:rsid w:val="00DF22C1"/>
    <w:rsid w:val="00DF4FD2"/>
    <w:rsid w:val="00E26A3F"/>
    <w:rsid w:val="00E277F0"/>
    <w:rsid w:val="00E46923"/>
    <w:rsid w:val="00E60BF0"/>
    <w:rsid w:val="00E60CCC"/>
    <w:rsid w:val="00E621F3"/>
    <w:rsid w:val="00E82921"/>
    <w:rsid w:val="00E8775B"/>
    <w:rsid w:val="00EA1C5B"/>
    <w:rsid w:val="00EA5218"/>
    <w:rsid w:val="00EA61EA"/>
    <w:rsid w:val="00EB29BC"/>
    <w:rsid w:val="00EB5766"/>
    <w:rsid w:val="00EB664E"/>
    <w:rsid w:val="00EC0893"/>
    <w:rsid w:val="00EC33DD"/>
    <w:rsid w:val="00EC3BE4"/>
    <w:rsid w:val="00ED37F4"/>
    <w:rsid w:val="00ED62A8"/>
    <w:rsid w:val="00ED76FD"/>
    <w:rsid w:val="00F026CB"/>
    <w:rsid w:val="00F20523"/>
    <w:rsid w:val="00F20DD7"/>
    <w:rsid w:val="00F24DDD"/>
    <w:rsid w:val="00F25C36"/>
    <w:rsid w:val="00F260B1"/>
    <w:rsid w:val="00F27113"/>
    <w:rsid w:val="00F43C58"/>
    <w:rsid w:val="00F44875"/>
    <w:rsid w:val="00F4508C"/>
    <w:rsid w:val="00F47F29"/>
    <w:rsid w:val="00F54258"/>
    <w:rsid w:val="00F54515"/>
    <w:rsid w:val="00F621AE"/>
    <w:rsid w:val="00F763D3"/>
    <w:rsid w:val="00F838B8"/>
    <w:rsid w:val="00F97E65"/>
    <w:rsid w:val="00FA027F"/>
    <w:rsid w:val="00FA035B"/>
    <w:rsid w:val="00FA52F5"/>
    <w:rsid w:val="00FA6C60"/>
    <w:rsid w:val="00FC2526"/>
    <w:rsid w:val="00FD1006"/>
    <w:rsid w:val="00FD4E59"/>
    <w:rsid w:val="00FD61AF"/>
    <w:rsid w:val="00FF75B4"/>
    <w:rsid w:val="00FF7CF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4F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GB" w:eastAsia="en-US"/>
    </w:rPr>
  </w:style>
  <w:style w:type="paragraph" w:styleId="Heading1">
    <w:name w:val="heading 1"/>
    <w:basedOn w:val="Normal"/>
    <w:next w:val="Normal"/>
    <w:link w:val="Heading1Char"/>
    <w:qFormat/>
    <w:rsid w:val="000D6E64"/>
    <w:pPr>
      <w:keepNext/>
      <w:numPr>
        <w:numId w:val="22"/>
      </w:numPr>
      <w:pBdr>
        <w:bottom w:val="single" w:sz="4" w:space="1" w:color="0070C0"/>
      </w:pBdr>
      <w:spacing w:before="240" w:after="60" w:line="240" w:lineRule="auto"/>
      <w:ind w:left="426"/>
      <w:outlineLvl w:val="0"/>
    </w:pPr>
    <w:rPr>
      <w:rFonts w:eastAsia="Times New Roman"/>
      <w:b/>
      <w:bCs/>
      <w:caps/>
      <w:color w:val="1F497D"/>
      <w:kern w:val="32"/>
      <w:sz w:val="24"/>
      <w:szCs w:val="24"/>
      <w:lang w:val="lv-LV"/>
    </w:rPr>
  </w:style>
  <w:style w:type="paragraph" w:styleId="Heading2">
    <w:name w:val="heading 2"/>
    <w:basedOn w:val="Normal"/>
    <w:next w:val="Normal"/>
    <w:link w:val="Heading2Char"/>
    <w:unhideWhenUsed/>
    <w:qFormat/>
    <w:rsid w:val="00A01C25"/>
    <w:pPr>
      <w:numPr>
        <w:ilvl w:val="1"/>
        <w:numId w:val="2"/>
      </w:numPr>
      <w:pBdr>
        <w:bottom w:val="single" w:sz="4" w:space="1" w:color="auto"/>
      </w:pBdr>
      <w:snapToGrid w:val="0"/>
      <w:spacing w:before="240" w:after="120" w:line="240" w:lineRule="auto"/>
      <w:outlineLvl w:val="1"/>
    </w:pPr>
    <w:rPr>
      <w:rFonts w:eastAsia="Times New Roman"/>
      <w:b/>
      <w:color w:val="000000"/>
      <w:szCs w:val="24"/>
      <w:u w:color="000000"/>
    </w:rPr>
  </w:style>
  <w:style w:type="paragraph" w:styleId="Heading3">
    <w:name w:val="heading 3"/>
    <w:basedOn w:val="Normal"/>
    <w:next w:val="Normal"/>
    <w:link w:val="Heading3Char"/>
    <w:semiHidden/>
    <w:unhideWhenUsed/>
    <w:qFormat/>
    <w:rsid w:val="00AE1EA0"/>
    <w:pPr>
      <w:keepNext/>
      <w:numPr>
        <w:ilvl w:val="2"/>
        <w:numId w:val="2"/>
      </w:numPr>
      <w:spacing w:before="240" w:after="60" w:line="240" w:lineRule="auto"/>
      <w:outlineLvl w:val="2"/>
    </w:pPr>
    <w:rPr>
      <w:rFonts w:ascii="Times New Roman" w:eastAsia="Times New Roman" w:hAnsi="Times New Roman"/>
      <w:b/>
      <w:bCs/>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71696"/>
    <w:rPr>
      <w:sz w:val="20"/>
      <w:szCs w:val="20"/>
      <w:lang w:val="x-none"/>
    </w:rPr>
  </w:style>
  <w:style w:type="character" w:customStyle="1" w:styleId="FootnoteTextChar">
    <w:name w:val="Footnote Text Char"/>
    <w:link w:val="FootnoteText"/>
    <w:uiPriority w:val="99"/>
    <w:semiHidden/>
    <w:rsid w:val="00171696"/>
    <w:rPr>
      <w:lang w:eastAsia="en-US"/>
    </w:rPr>
  </w:style>
  <w:style w:type="character" w:styleId="FootnoteReference">
    <w:name w:val="footnote reference"/>
    <w:uiPriority w:val="99"/>
    <w:semiHidden/>
    <w:unhideWhenUsed/>
    <w:rsid w:val="00171696"/>
    <w:rPr>
      <w:vertAlign w:val="superscript"/>
    </w:rPr>
  </w:style>
  <w:style w:type="character" w:customStyle="1" w:styleId="Heading1Char">
    <w:name w:val="Heading 1 Char"/>
    <w:link w:val="Heading1"/>
    <w:rsid w:val="000D6E64"/>
    <w:rPr>
      <w:rFonts w:eastAsia="Times New Roman"/>
      <w:b/>
      <w:bCs/>
      <w:caps/>
      <w:color w:val="1F497D"/>
      <w:kern w:val="32"/>
      <w:sz w:val="24"/>
      <w:szCs w:val="24"/>
      <w:lang w:eastAsia="en-US"/>
    </w:rPr>
  </w:style>
  <w:style w:type="character" w:customStyle="1" w:styleId="Heading2Char">
    <w:name w:val="Heading 2 Char"/>
    <w:link w:val="Heading2"/>
    <w:rsid w:val="00A01C25"/>
    <w:rPr>
      <w:rFonts w:eastAsia="Times New Roman"/>
      <w:b/>
      <w:color w:val="000000"/>
      <w:sz w:val="22"/>
      <w:szCs w:val="24"/>
      <w:u w:color="000000"/>
      <w:lang w:val="en-GB" w:eastAsia="en-US"/>
    </w:rPr>
  </w:style>
  <w:style w:type="character" w:customStyle="1" w:styleId="Heading3Char">
    <w:name w:val="Heading 3 Char"/>
    <w:link w:val="Heading3"/>
    <w:semiHidden/>
    <w:rsid w:val="00AE1EA0"/>
    <w:rPr>
      <w:rFonts w:ascii="Times New Roman" w:eastAsia="Times New Roman" w:hAnsi="Times New Roman"/>
      <w:b/>
      <w:bCs/>
      <w:sz w:val="24"/>
      <w:szCs w:val="26"/>
      <w:lang w:val="en-US" w:eastAsia="en-US"/>
    </w:rPr>
  </w:style>
  <w:style w:type="paragraph" w:styleId="Header">
    <w:name w:val="header"/>
    <w:basedOn w:val="Normal"/>
    <w:link w:val="HeaderChar"/>
    <w:uiPriority w:val="99"/>
    <w:unhideWhenUsed/>
    <w:rsid w:val="001E66BA"/>
    <w:pPr>
      <w:tabs>
        <w:tab w:val="center" w:pos="4513"/>
        <w:tab w:val="right" w:pos="9026"/>
      </w:tabs>
    </w:pPr>
    <w:rPr>
      <w:lang w:val="x-none"/>
    </w:rPr>
  </w:style>
  <w:style w:type="character" w:customStyle="1" w:styleId="HeaderChar">
    <w:name w:val="Header Char"/>
    <w:link w:val="Header"/>
    <w:uiPriority w:val="99"/>
    <w:rsid w:val="001E66BA"/>
    <w:rPr>
      <w:sz w:val="22"/>
      <w:szCs w:val="22"/>
      <w:lang w:eastAsia="en-US"/>
    </w:rPr>
  </w:style>
  <w:style w:type="paragraph" w:styleId="Footer">
    <w:name w:val="footer"/>
    <w:basedOn w:val="Normal"/>
    <w:link w:val="FooterChar"/>
    <w:uiPriority w:val="99"/>
    <w:unhideWhenUsed/>
    <w:rsid w:val="001E66BA"/>
    <w:pPr>
      <w:tabs>
        <w:tab w:val="center" w:pos="4513"/>
        <w:tab w:val="right" w:pos="9026"/>
      </w:tabs>
    </w:pPr>
    <w:rPr>
      <w:lang w:val="x-none"/>
    </w:rPr>
  </w:style>
  <w:style w:type="character" w:customStyle="1" w:styleId="FooterChar">
    <w:name w:val="Footer Char"/>
    <w:link w:val="Footer"/>
    <w:uiPriority w:val="99"/>
    <w:rsid w:val="001E66BA"/>
    <w:rPr>
      <w:sz w:val="22"/>
      <w:szCs w:val="22"/>
      <w:lang w:eastAsia="en-US"/>
    </w:rPr>
  </w:style>
  <w:style w:type="paragraph" w:styleId="BalloonText">
    <w:name w:val="Balloon Text"/>
    <w:basedOn w:val="Normal"/>
    <w:link w:val="BalloonTextChar"/>
    <w:uiPriority w:val="99"/>
    <w:semiHidden/>
    <w:unhideWhenUsed/>
    <w:rsid w:val="00A91751"/>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A91751"/>
    <w:rPr>
      <w:rFonts w:ascii="Tahoma" w:hAnsi="Tahoma" w:cs="Tahoma"/>
      <w:sz w:val="16"/>
      <w:szCs w:val="16"/>
      <w:lang w:eastAsia="en-US"/>
    </w:rPr>
  </w:style>
  <w:style w:type="paragraph" w:customStyle="1" w:styleId="Default">
    <w:name w:val="Default"/>
    <w:rsid w:val="00CD65B3"/>
    <w:pPr>
      <w:autoSpaceDE w:val="0"/>
      <w:autoSpaceDN w:val="0"/>
      <w:adjustRightInd w:val="0"/>
      <w:spacing w:before="100" w:after="200" w:line="276" w:lineRule="auto"/>
    </w:pPr>
    <w:rPr>
      <w:rFonts w:eastAsia="Times New Roman"/>
      <w:color w:val="000000"/>
      <w:sz w:val="24"/>
      <w:szCs w:val="24"/>
      <w:lang w:val="en-GB" w:eastAsia="en-GB"/>
    </w:rPr>
  </w:style>
  <w:style w:type="character" w:styleId="Hyperlink">
    <w:name w:val="Hyperlink"/>
    <w:uiPriority w:val="99"/>
    <w:unhideWhenUsed/>
    <w:rsid w:val="00DF4FD2"/>
    <w:rPr>
      <w:color w:val="0000FF"/>
      <w:u w:val="single"/>
    </w:rPr>
  </w:style>
  <w:style w:type="character" w:styleId="CommentReference">
    <w:name w:val="annotation reference"/>
    <w:uiPriority w:val="99"/>
    <w:semiHidden/>
    <w:unhideWhenUsed/>
    <w:rsid w:val="006A69B6"/>
    <w:rPr>
      <w:sz w:val="16"/>
      <w:szCs w:val="16"/>
    </w:rPr>
  </w:style>
  <w:style w:type="paragraph" w:styleId="CommentText">
    <w:name w:val="annotation text"/>
    <w:basedOn w:val="Normal"/>
    <w:link w:val="CommentTextChar"/>
    <w:uiPriority w:val="99"/>
    <w:unhideWhenUsed/>
    <w:rsid w:val="006A69B6"/>
    <w:rPr>
      <w:sz w:val="20"/>
      <w:szCs w:val="20"/>
      <w:lang w:val="x-none"/>
    </w:rPr>
  </w:style>
  <w:style w:type="character" w:customStyle="1" w:styleId="CommentTextChar">
    <w:name w:val="Comment Text Char"/>
    <w:link w:val="CommentText"/>
    <w:uiPriority w:val="99"/>
    <w:rsid w:val="006A69B6"/>
    <w:rPr>
      <w:lang w:eastAsia="en-US"/>
    </w:rPr>
  </w:style>
  <w:style w:type="paragraph" w:styleId="CommentSubject">
    <w:name w:val="annotation subject"/>
    <w:basedOn w:val="CommentText"/>
    <w:next w:val="CommentText"/>
    <w:link w:val="CommentSubjectChar"/>
    <w:uiPriority w:val="99"/>
    <w:semiHidden/>
    <w:unhideWhenUsed/>
    <w:rsid w:val="006A69B6"/>
    <w:rPr>
      <w:b/>
      <w:bCs/>
    </w:rPr>
  </w:style>
  <w:style w:type="character" w:customStyle="1" w:styleId="CommentSubjectChar">
    <w:name w:val="Comment Subject Char"/>
    <w:link w:val="CommentSubject"/>
    <w:uiPriority w:val="99"/>
    <w:semiHidden/>
    <w:rsid w:val="006A69B6"/>
    <w:rPr>
      <w:b/>
      <w:bCs/>
      <w:lang w:eastAsia="en-US"/>
    </w:rPr>
  </w:style>
  <w:style w:type="paragraph" w:styleId="ListParagraph">
    <w:name w:val="List Paragraph"/>
    <w:basedOn w:val="Normal"/>
    <w:uiPriority w:val="34"/>
    <w:qFormat/>
    <w:rsid w:val="00CB520C"/>
    <w:pPr>
      <w:ind w:left="720"/>
    </w:pPr>
  </w:style>
  <w:style w:type="table" w:customStyle="1" w:styleId="TableGrid1">
    <w:name w:val="Table Grid1"/>
    <w:basedOn w:val="TableNormal"/>
    <w:next w:val="TableGrid"/>
    <w:uiPriority w:val="39"/>
    <w:rsid w:val="0001683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0168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8668CF"/>
    <w:rPr>
      <w:sz w:val="20"/>
      <w:szCs w:val="20"/>
      <w:lang w:val="x-none"/>
    </w:rPr>
  </w:style>
  <w:style w:type="character" w:customStyle="1" w:styleId="EndnoteTextChar">
    <w:name w:val="Endnote Text Char"/>
    <w:link w:val="EndnoteText"/>
    <w:uiPriority w:val="99"/>
    <w:semiHidden/>
    <w:rsid w:val="008668CF"/>
    <w:rPr>
      <w:lang w:eastAsia="en-US"/>
    </w:rPr>
  </w:style>
  <w:style w:type="character" w:styleId="EndnoteReference">
    <w:name w:val="endnote reference"/>
    <w:uiPriority w:val="99"/>
    <w:semiHidden/>
    <w:unhideWhenUsed/>
    <w:rsid w:val="008668CF"/>
    <w:rPr>
      <w:vertAlign w:val="superscript"/>
    </w:rPr>
  </w:style>
  <w:style w:type="paragraph" w:styleId="NoSpacing">
    <w:name w:val="No Spacing"/>
    <w:uiPriority w:val="1"/>
    <w:qFormat/>
    <w:rsid w:val="00EB29BC"/>
    <w:rPr>
      <w:sz w:val="22"/>
      <w:szCs w:val="22"/>
      <w:lang w:val="en-GB" w:eastAsia="en-US"/>
    </w:rPr>
  </w:style>
  <w:style w:type="paragraph" w:styleId="Revision">
    <w:name w:val="Revision"/>
    <w:hidden/>
    <w:uiPriority w:val="99"/>
    <w:semiHidden/>
    <w:rsid w:val="00D94B65"/>
    <w:rPr>
      <w:sz w:val="22"/>
      <w:szCs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GB" w:eastAsia="en-US"/>
    </w:rPr>
  </w:style>
  <w:style w:type="paragraph" w:styleId="Heading1">
    <w:name w:val="heading 1"/>
    <w:basedOn w:val="Normal"/>
    <w:next w:val="Normal"/>
    <w:link w:val="Heading1Char"/>
    <w:qFormat/>
    <w:rsid w:val="000D6E64"/>
    <w:pPr>
      <w:keepNext/>
      <w:numPr>
        <w:numId w:val="22"/>
      </w:numPr>
      <w:pBdr>
        <w:bottom w:val="single" w:sz="4" w:space="1" w:color="0070C0"/>
      </w:pBdr>
      <w:spacing w:before="240" w:after="60" w:line="240" w:lineRule="auto"/>
      <w:ind w:left="426"/>
      <w:outlineLvl w:val="0"/>
    </w:pPr>
    <w:rPr>
      <w:rFonts w:eastAsia="Times New Roman"/>
      <w:b/>
      <w:bCs/>
      <w:caps/>
      <w:color w:val="1F497D"/>
      <w:kern w:val="32"/>
      <w:sz w:val="24"/>
      <w:szCs w:val="24"/>
      <w:lang w:val="lv-LV"/>
    </w:rPr>
  </w:style>
  <w:style w:type="paragraph" w:styleId="Heading2">
    <w:name w:val="heading 2"/>
    <w:basedOn w:val="Normal"/>
    <w:next w:val="Normal"/>
    <w:link w:val="Heading2Char"/>
    <w:unhideWhenUsed/>
    <w:qFormat/>
    <w:rsid w:val="00A01C25"/>
    <w:pPr>
      <w:numPr>
        <w:ilvl w:val="1"/>
        <w:numId w:val="2"/>
      </w:numPr>
      <w:pBdr>
        <w:bottom w:val="single" w:sz="4" w:space="1" w:color="auto"/>
      </w:pBdr>
      <w:snapToGrid w:val="0"/>
      <w:spacing w:before="240" w:after="120" w:line="240" w:lineRule="auto"/>
      <w:outlineLvl w:val="1"/>
    </w:pPr>
    <w:rPr>
      <w:rFonts w:eastAsia="Times New Roman"/>
      <w:b/>
      <w:color w:val="000000"/>
      <w:szCs w:val="24"/>
      <w:u w:color="000000"/>
    </w:rPr>
  </w:style>
  <w:style w:type="paragraph" w:styleId="Heading3">
    <w:name w:val="heading 3"/>
    <w:basedOn w:val="Normal"/>
    <w:next w:val="Normal"/>
    <w:link w:val="Heading3Char"/>
    <w:semiHidden/>
    <w:unhideWhenUsed/>
    <w:qFormat/>
    <w:rsid w:val="00AE1EA0"/>
    <w:pPr>
      <w:keepNext/>
      <w:numPr>
        <w:ilvl w:val="2"/>
        <w:numId w:val="2"/>
      </w:numPr>
      <w:spacing w:before="240" w:after="60" w:line="240" w:lineRule="auto"/>
      <w:outlineLvl w:val="2"/>
    </w:pPr>
    <w:rPr>
      <w:rFonts w:ascii="Times New Roman" w:eastAsia="Times New Roman" w:hAnsi="Times New Roman"/>
      <w:b/>
      <w:bCs/>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71696"/>
    <w:rPr>
      <w:sz w:val="20"/>
      <w:szCs w:val="20"/>
      <w:lang w:val="x-none"/>
    </w:rPr>
  </w:style>
  <w:style w:type="character" w:customStyle="1" w:styleId="FootnoteTextChar">
    <w:name w:val="Footnote Text Char"/>
    <w:link w:val="FootnoteText"/>
    <w:uiPriority w:val="99"/>
    <w:semiHidden/>
    <w:rsid w:val="00171696"/>
    <w:rPr>
      <w:lang w:eastAsia="en-US"/>
    </w:rPr>
  </w:style>
  <w:style w:type="character" w:styleId="FootnoteReference">
    <w:name w:val="footnote reference"/>
    <w:uiPriority w:val="99"/>
    <w:semiHidden/>
    <w:unhideWhenUsed/>
    <w:rsid w:val="00171696"/>
    <w:rPr>
      <w:vertAlign w:val="superscript"/>
    </w:rPr>
  </w:style>
  <w:style w:type="character" w:customStyle="1" w:styleId="Heading1Char">
    <w:name w:val="Heading 1 Char"/>
    <w:link w:val="Heading1"/>
    <w:rsid w:val="000D6E64"/>
    <w:rPr>
      <w:rFonts w:eastAsia="Times New Roman"/>
      <w:b/>
      <w:bCs/>
      <w:caps/>
      <w:color w:val="1F497D"/>
      <w:kern w:val="32"/>
      <w:sz w:val="24"/>
      <w:szCs w:val="24"/>
      <w:lang w:eastAsia="en-US"/>
    </w:rPr>
  </w:style>
  <w:style w:type="character" w:customStyle="1" w:styleId="Heading2Char">
    <w:name w:val="Heading 2 Char"/>
    <w:link w:val="Heading2"/>
    <w:rsid w:val="00A01C25"/>
    <w:rPr>
      <w:rFonts w:eastAsia="Times New Roman"/>
      <w:b/>
      <w:color w:val="000000"/>
      <w:sz w:val="22"/>
      <w:szCs w:val="24"/>
      <w:u w:color="000000"/>
      <w:lang w:val="en-GB" w:eastAsia="en-US"/>
    </w:rPr>
  </w:style>
  <w:style w:type="character" w:customStyle="1" w:styleId="Heading3Char">
    <w:name w:val="Heading 3 Char"/>
    <w:link w:val="Heading3"/>
    <w:semiHidden/>
    <w:rsid w:val="00AE1EA0"/>
    <w:rPr>
      <w:rFonts w:ascii="Times New Roman" w:eastAsia="Times New Roman" w:hAnsi="Times New Roman"/>
      <w:b/>
      <w:bCs/>
      <w:sz w:val="24"/>
      <w:szCs w:val="26"/>
      <w:lang w:val="en-US" w:eastAsia="en-US"/>
    </w:rPr>
  </w:style>
  <w:style w:type="paragraph" w:styleId="Header">
    <w:name w:val="header"/>
    <w:basedOn w:val="Normal"/>
    <w:link w:val="HeaderChar"/>
    <w:uiPriority w:val="99"/>
    <w:unhideWhenUsed/>
    <w:rsid w:val="001E66BA"/>
    <w:pPr>
      <w:tabs>
        <w:tab w:val="center" w:pos="4513"/>
        <w:tab w:val="right" w:pos="9026"/>
      </w:tabs>
    </w:pPr>
    <w:rPr>
      <w:lang w:val="x-none"/>
    </w:rPr>
  </w:style>
  <w:style w:type="character" w:customStyle="1" w:styleId="HeaderChar">
    <w:name w:val="Header Char"/>
    <w:link w:val="Header"/>
    <w:uiPriority w:val="99"/>
    <w:rsid w:val="001E66BA"/>
    <w:rPr>
      <w:sz w:val="22"/>
      <w:szCs w:val="22"/>
      <w:lang w:eastAsia="en-US"/>
    </w:rPr>
  </w:style>
  <w:style w:type="paragraph" w:styleId="Footer">
    <w:name w:val="footer"/>
    <w:basedOn w:val="Normal"/>
    <w:link w:val="FooterChar"/>
    <w:uiPriority w:val="99"/>
    <w:unhideWhenUsed/>
    <w:rsid w:val="001E66BA"/>
    <w:pPr>
      <w:tabs>
        <w:tab w:val="center" w:pos="4513"/>
        <w:tab w:val="right" w:pos="9026"/>
      </w:tabs>
    </w:pPr>
    <w:rPr>
      <w:lang w:val="x-none"/>
    </w:rPr>
  </w:style>
  <w:style w:type="character" w:customStyle="1" w:styleId="FooterChar">
    <w:name w:val="Footer Char"/>
    <w:link w:val="Footer"/>
    <w:uiPriority w:val="99"/>
    <w:rsid w:val="001E66BA"/>
    <w:rPr>
      <w:sz w:val="22"/>
      <w:szCs w:val="22"/>
      <w:lang w:eastAsia="en-US"/>
    </w:rPr>
  </w:style>
  <w:style w:type="paragraph" w:styleId="BalloonText">
    <w:name w:val="Balloon Text"/>
    <w:basedOn w:val="Normal"/>
    <w:link w:val="BalloonTextChar"/>
    <w:uiPriority w:val="99"/>
    <w:semiHidden/>
    <w:unhideWhenUsed/>
    <w:rsid w:val="00A91751"/>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A91751"/>
    <w:rPr>
      <w:rFonts w:ascii="Tahoma" w:hAnsi="Tahoma" w:cs="Tahoma"/>
      <w:sz w:val="16"/>
      <w:szCs w:val="16"/>
      <w:lang w:eastAsia="en-US"/>
    </w:rPr>
  </w:style>
  <w:style w:type="paragraph" w:customStyle="1" w:styleId="Default">
    <w:name w:val="Default"/>
    <w:rsid w:val="00CD65B3"/>
    <w:pPr>
      <w:autoSpaceDE w:val="0"/>
      <w:autoSpaceDN w:val="0"/>
      <w:adjustRightInd w:val="0"/>
      <w:spacing w:before="100" w:after="200" w:line="276" w:lineRule="auto"/>
    </w:pPr>
    <w:rPr>
      <w:rFonts w:eastAsia="Times New Roman"/>
      <w:color w:val="000000"/>
      <w:sz w:val="24"/>
      <w:szCs w:val="24"/>
      <w:lang w:val="en-GB" w:eastAsia="en-GB"/>
    </w:rPr>
  </w:style>
  <w:style w:type="character" w:styleId="Hyperlink">
    <w:name w:val="Hyperlink"/>
    <w:uiPriority w:val="99"/>
    <w:unhideWhenUsed/>
    <w:rsid w:val="00DF4FD2"/>
    <w:rPr>
      <w:color w:val="0000FF"/>
      <w:u w:val="single"/>
    </w:rPr>
  </w:style>
  <w:style w:type="character" w:styleId="CommentReference">
    <w:name w:val="annotation reference"/>
    <w:uiPriority w:val="99"/>
    <w:semiHidden/>
    <w:unhideWhenUsed/>
    <w:rsid w:val="006A69B6"/>
    <w:rPr>
      <w:sz w:val="16"/>
      <w:szCs w:val="16"/>
    </w:rPr>
  </w:style>
  <w:style w:type="paragraph" w:styleId="CommentText">
    <w:name w:val="annotation text"/>
    <w:basedOn w:val="Normal"/>
    <w:link w:val="CommentTextChar"/>
    <w:uiPriority w:val="99"/>
    <w:unhideWhenUsed/>
    <w:rsid w:val="006A69B6"/>
    <w:rPr>
      <w:sz w:val="20"/>
      <w:szCs w:val="20"/>
      <w:lang w:val="x-none"/>
    </w:rPr>
  </w:style>
  <w:style w:type="character" w:customStyle="1" w:styleId="CommentTextChar">
    <w:name w:val="Comment Text Char"/>
    <w:link w:val="CommentText"/>
    <w:uiPriority w:val="99"/>
    <w:rsid w:val="006A69B6"/>
    <w:rPr>
      <w:lang w:eastAsia="en-US"/>
    </w:rPr>
  </w:style>
  <w:style w:type="paragraph" w:styleId="CommentSubject">
    <w:name w:val="annotation subject"/>
    <w:basedOn w:val="CommentText"/>
    <w:next w:val="CommentText"/>
    <w:link w:val="CommentSubjectChar"/>
    <w:uiPriority w:val="99"/>
    <w:semiHidden/>
    <w:unhideWhenUsed/>
    <w:rsid w:val="006A69B6"/>
    <w:rPr>
      <w:b/>
      <w:bCs/>
    </w:rPr>
  </w:style>
  <w:style w:type="character" w:customStyle="1" w:styleId="CommentSubjectChar">
    <w:name w:val="Comment Subject Char"/>
    <w:link w:val="CommentSubject"/>
    <w:uiPriority w:val="99"/>
    <w:semiHidden/>
    <w:rsid w:val="006A69B6"/>
    <w:rPr>
      <w:b/>
      <w:bCs/>
      <w:lang w:eastAsia="en-US"/>
    </w:rPr>
  </w:style>
  <w:style w:type="paragraph" w:styleId="ListParagraph">
    <w:name w:val="List Paragraph"/>
    <w:basedOn w:val="Normal"/>
    <w:uiPriority w:val="34"/>
    <w:qFormat/>
    <w:rsid w:val="00CB520C"/>
    <w:pPr>
      <w:ind w:left="720"/>
    </w:pPr>
  </w:style>
  <w:style w:type="table" w:customStyle="1" w:styleId="TableGrid1">
    <w:name w:val="Table Grid1"/>
    <w:basedOn w:val="TableNormal"/>
    <w:next w:val="TableGrid"/>
    <w:uiPriority w:val="39"/>
    <w:rsid w:val="0001683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0168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8668CF"/>
    <w:rPr>
      <w:sz w:val="20"/>
      <w:szCs w:val="20"/>
      <w:lang w:val="x-none"/>
    </w:rPr>
  </w:style>
  <w:style w:type="character" w:customStyle="1" w:styleId="EndnoteTextChar">
    <w:name w:val="Endnote Text Char"/>
    <w:link w:val="EndnoteText"/>
    <w:uiPriority w:val="99"/>
    <w:semiHidden/>
    <w:rsid w:val="008668CF"/>
    <w:rPr>
      <w:lang w:eastAsia="en-US"/>
    </w:rPr>
  </w:style>
  <w:style w:type="character" w:styleId="EndnoteReference">
    <w:name w:val="endnote reference"/>
    <w:uiPriority w:val="99"/>
    <w:semiHidden/>
    <w:unhideWhenUsed/>
    <w:rsid w:val="008668CF"/>
    <w:rPr>
      <w:vertAlign w:val="superscript"/>
    </w:rPr>
  </w:style>
  <w:style w:type="paragraph" w:styleId="NoSpacing">
    <w:name w:val="No Spacing"/>
    <w:uiPriority w:val="1"/>
    <w:qFormat/>
    <w:rsid w:val="00EB29BC"/>
    <w:rPr>
      <w:sz w:val="22"/>
      <w:szCs w:val="22"/>
      <w:lang w:val="en-GB" w:eastAsia="en-US"/>
    </w:rPr>
  </w:style>
  <w:style w:type="paragraph" w:styleId="Revision">
    <w:name w:val="Revision"/>
    <w:hidden/>
    <w:uiPriority w:val="99"/>
    <w:semiHidden/>
    <w:rsid w:val="00D94B65"/>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8365">
      <w:bodyDiv w:val="1"/>
      <w:marLeft w:val="0"/>
      <w:marRight w:val="0"/>
      <w:marTop w:val="0"/>
      <w:marBottom w:val="0"/>
      <w:divBdr>
        <w:top w:val="none" w:sz="0" w:space="0" w:color="auto"/>
        <w:left w:val="none" w:sz="0" w:space="0" w:color="auto"/>
        <w:bottom w:val="none" w:sz="0" w:space="0" w:color="auto"/>
        <w:right w:val="none" w:sz="0" w:space="0" w:color="auto"/>
      </w:divBdr>
    </w:div>
    <w:div w:id="115949151">
      <w:bodyDiv w:val="1"/>
      <w:marLeft w:val="0"/>
      <w:marRight w:val="0"/>
      <w:marTop w:val="0"/>
      <w:marBottom w:val="0"/>
      <w:divBdr>
        <w:top w:val="none" w:sz="0" w:space="0" w:color="auto"/>
        <w:left w:val="none" w:sz="0" w:space="0" w:color="auto"/>
        <w:bottom w:val="none" w:sz="0" w:space="0" w:color="auto"/>
        <w:right w:val="none" w:sz="0" w:space="0" w:color="auto"/>
      </w:divBdr>
    </w:div>
    <w:div w:id="263850933">
      <w:bodyDiv w:val="1"/>
      <w:marLeft w:val="0"/>
      <w:marRight w:val="0"/>
      <w:marTop w:val="0"/>
      <w:marBottom w:val="0"/>
      <w:divBdr>
        <w:top w:val="none" w:sz="0" w:space="0" w:color="auto"/>
        <w:left w:val="none" w:sz="0" w:space="0" w:color="auto"/>
        <w:bottom w:val="none" w:sz="0" w:space="0" w:color="auto"/>
        <w:right w:val="none" w:sz="0" w:space="0" w:color="auto"/>
      </w:divBdr>
    </w:div>
    <w:div w:id="310990067">
      <w:bodyDiv w:val="1"/>
      <w:marLeft w:val="0"/>
      <w:marRight w:val="0"/>
      <w:marTop w:val="0"/>
      <w:marBottom w:val="0"/>
      <w:divBdr>
        <w:top w:val="none" w:sz="0" w:space="0" w:color="auto"/>
        <w:left w:val="none" w:sz="0" w:space="0" w:color="auto"/>
        <w:bottom w:val="none" w:sz="0" w:space="0" w:color="auto"/>
        <w:right w:val="none" w:sz="0" w:space="0" w:color="auto"/>
      </w:divBdr>
    </w:div>
    <w:div w:id="411317425">
      <w:bodyDiv w:val="1"/>
      <w:marLeft w:val="0"/>
      <w:marRight w:val="0"/>
      <w:marTop w:val="0"/>
      <w:marBottom w:val="0"/>
      <w:divBdr>
        <w:top w:val="none" w:sz="0" w:space="0" w:color="auto"/>
        <w:left w:val="none" w:sz="0" w:space="0" w:color="auto"/>
        <w:bottom w:val="none" w:sz="0" w:space="0" w:color="auto"/>
        <w:right w:val="none" w:sz="0" w:space="0" w:color="auto"/>
      </w:divBdr>
    </w:div>
    <w:div w:id="424114666">
      <w:bodyDiv w:val="1"/>
      <w:marLeft w:val="0"/>
      <w:marRight w:val="0"/>
      <w:marTop w:val="0"/>
      <w:marBottom w:val="0"/>
      <w:divBdr>
        <w:top w:val="none" w:sz="0" w:space="0" w:color="auto"/>
        <w:left w:val="none" w:sz="0" w:space="0" w:color="auto"/>
        <w:bottom w:val="none" w:sz="0" w:space="0" w:color="auto"/>
        <w:right w:val="none" w:sz="0" w:space="0" w:color="auto"/>
      </w:divBdr>
    </w:div>
    <w:div w:id="572811048">
      <w:bodyDiv w:val="1"/>
      <w:marLeft w:val="0"/>
      <w:marRight w:val="0"/>
      <w:marTop w:val="0"/>
      <w:marBottom w:val="0"/>
      <w:divBdr>
        <w:top w:val="none" w:sz="0" w:space="0" w:color="auto"/>
        <w:left w:val="none" w:sz="0" w:space="0" w:color="auto"/>
        <w:bottom w:val="none" w:sz="0" w:space="0" w:color="auto"/>
        <w:right w:val="none" w:sz="0" w:space="0" w:color="auto"/>
      </w:divBdr>
    </w:div>
    <w:div w:id="634141839">
      <w:bodyDiv w:val="1"/>
      <w:marLeft w:val="0"/>
      <w:marRight w:val="0"/>
      <w:marTop w:val="0"/>
      <w:marBottom w:val="0"/>
      <w:divBdr>
        <w:top w:val="none" w:sz="0" w:space="0" w:color="auto"/>
        <w:left w:val="none" w:sz="0" w:space="0" w:color="auto"/>
        <w:bottom w:val="none" w:sz="0" w:space="0" w:color="auto"/>
        <w:right w:val="none" w:sz="0" w:space="0" w:color="auto"/>
      </w:divBdr>
    </w:div>
    <w:div w:id="641807910">
      <w:bodyDiv w:val="1"/>
      <w:marLeft w:val="0"/>
      <w:marRight w:val="0"/>
      <w:marTop w:val="0"/>
      <w:marBottom w:val="0"/>
      <w:divBdr>
        <w:top w:val="none" w:sz="0" w:space="0" w:color="auto"/>
        <w:left w:val="none" w:sz="0" w:space="0" w:color="auto"/>
        <w:bottom w:val="none" w:sz="0" w:space="0" w:color="auto"/>
        <w:right w:val="none" w:sz="0" w:space="0" w:color="auto"/>
      </w:divBdr>
    </w:div>
    <w:div w:id="673150713">
      <w:bodyDiv w:val="1"/>
      <w:marLeft w:val="0"/>
      <w:marRight w:val="0"/>
      <w:marTop w:val="0"/>
      <w:marBottom w:val="0"/>
      <w:divBdr>
        <w:top w:val="none" w:sz="0" w:space="0" w:color="auto"/>
        <w:left w:val="none" w:sz="0" w:space="0" w:color="auto"/>
        <w:bottom w:val="none" w:sz="0" w:space="0" w:color="auto"/>
        <w:right w:val="none" w:sz="0" w:space="0" w:color="auto"/>
      </w:divBdr>
    </w:div>
    <w:div w:id="945692137">
      <w:bodyDiv w:val="1"/>
      <w:marLeft w:val="0"/>
      <w:marRight w:val="0"/>
      <w:marTop w:val="0"/>
      <w:marBottom w:val="0"/>
      <w:divBdr>
        <w:top w:val="none" w:sz="0" w:space="0" w:color="auto"/>
        <w:left w:val="none" w:sz="0" w:space="0" w:color="auto"/>
        <w:bottom w:val="none" w:sz="0" w:space="0" w:color="auto"/>
        <w:right w:val="none" w:sz="0" w:space="0" w:color="auto"/>
      </w:divBdr>
    </w:div>
    <w:div w:id="1171946939">
      <w:bodyDiv w:val="1"/>
      <w:marLeft w:val="0"/>
      <w:marRight w:val="0"/>
      <w:marTop w:val="0"/>
      <w:marBottom w:val="0"/>
      <w:divBdr>
        <w:top w:val="none" w:sz="0" w:space="0" w:color="auto"/>
        <w:left w:val="none" w:sz="0" w:space="0" w:color="auto"/>
        <w:bottom w:val="none" w:sz="0" w:space="0" w:color="auto"/>
        <w:right w:val="none" w:sz="0" w:space="0" w:color="auto"/>
      </w:divBdr>
    </w:div>
    <w:div w:id="1320305718">
      <w:bodyDiv w:val="1"/>
      <w:marLeft w:val="0"/>
      <w:marRight w:val="0"/>
      <w:marTop w:val="0"/>
      <w:marBottom w:val="0"/>
      <w:divBdr>
        <w:top w:val="none" w:sz="0" w:space="0" w:color="auto"/>
        <w:left w:val="none" w:sz="0" w:space="0" w:color="auto"/>
        <w:bottom w:val="none" w:sz="0" w:space="0" w:color="auto"/>
        <w:right w:val="none" w:sz="0" w:space="0" w:color="auto"/>
      </w:divBdr>
    </w:div>
    <w:div w:id="1586651115">
      <w:bodyDiv w:val="1"/>
      <w:marLeft w:val="0"/>
      <w:marRight w:val="0"/>
      <w:marTop w:val="0"/>
      <w:marBottom w:val="0"/>
      <w:divBdr>
        <w:top w:val="none" w:sz="0" w:space="0" w:color="auto"/>
        <w:left w:val="none" w:sz="0" w:space="0" w:color="auto"/>
        <w:bottom w:val="none" w:sz="0" w:space="0" w:color="auto"/>
        <w:right w:val="none" w:sz="0" w:space="0" w:color="auto"/>
      </w:divBdr>
    </w:div>
    <w:div w:id="1645426131">
      <w:bodyDiv w:val="1"/>
      <w:marLeft w:val="0"/>
      <w:marRight w:val="0"/>
      <w:marTop w:val="0"/>
      <w:marBottom w:val="0"/>
      <w:divBdr>
        <w:top w:val="none" w:sz="0" w:space="0" w:color="auto"/>
        <w:left w:val="none" w:sz="0" w:space="0" w:color="auto"/>
        <w:bottom w:val="none" w:sz="0" w:space="0" w:color="auto"/>
        <w:right w:val="none" w:sz="0" w:space="0" w:color="auto"/>
      </w:divBdr>
    </w:div>
    <w:div w:id="1742217044">
      <w:bodyDiv w:val="1"/>
      <w:marLeft w:val="0"/>
      <w:marRight w:val="0"/>
      <w:marTop w:val="0"/>
      <w:marBottom w:val="0"/>
      <w:divBdr>
        <w:top w:val="none" w:sz="0" w:space="0" w:color="auto"/>
        <w:left w:val="none" w:sz="0" w:space="0" w:color="auto"/>
        <w:bottom w:val="none" w:sz="0" w:space="0" w:color="auto"/>
        <w:right w:val="none" w:sz="0" w:space="0" w:color="auto"/>
      </w:divBdr>
    </w:div>
    <w:div w:id="1945570159">
      <w:bodyDiv w:val="1"/>
      <w:marLeft w:val="0"/>
      <w:marRight w:val="0"/>
      <w:marTop w:val="0"/>
      <w:marBottom w:val="0"/>
      <w:divBdr>
        <w:top w:val="none" w:sz="0" w:space="0" w:color="auto"/>
        <w:left w:val="none" w:sz="0" w:space="0" w:color="auto"/>
        <w:bottom w:val="none" w:sz="0" w:space="0" w:color="auto"/>
        <w:right w:val="none" w:sz="0" w:space="0" w:color="auto"/>
      </w:divBdr>
    </w:div>
    <w:div w:id="214715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ēma">
  <a:themeElements>
    <a:clrScheme name="Iestād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estād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estād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F5658-7066-4AE8-BE04-F912FBC77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9576</Words>
  <Characters>5459</Characters>
  <Application>Microsoft Office Word</Application>
  <DocSecurity>0</DocSecurity>
  <Lines>45</Lines>
  <Paragraphs>30</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DISCUSSION PAPER FOR STAKEHOLDER CONSULTATIOn</vt:lpstr>
      <vt:lpstr>DISCUSSION PAPER FOR STAKEHOLDER CONSULTATIOn</vt:lpstr>
    </vt:vector>
  </TitlesOfParts>
  <Company>EFTA</Company>
  <LinksUpToDate>false</LinksUpToDate>
  <CharactersWithSpaces>15005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PAPER FOR STAKEHOLDER CONSULTATIOn</dc:title>
  <dc:creator>NORDBECK Heidi</dc:creator>
  <cp:lastModifiedBy>Kurzemes NVO atbalsta centrs</cp:lastModifiedBy>
  <cp:revision>4</cp:revision>
  <cp:lastPrinted>2018-10-23T09:00:00Z</cp:lastPrinted>
  <dcterms:created xsi:type="dcterms:W3CDTF">2018-10-31T21:08:00Z</dcterms:created>
  <dcterms:modified xsi:type="dcterms:W3CDTF">2018-10-31T22:35:00Z</dcterms:modified>
</cp:coreProperties>
</file>