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FB.EQ_ALWAYS_TRUE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класс определяет метод equals, который всегда возвращает true. Плюс, это означает, что метод equals не является симметричным.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FB.EQ_ALWAYS_TRUE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Метод equals() переопределен таким образом, что всегда возвращает true, независимо от того, какие объекты сравниваются.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Нарушение контракта метода equals()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CWE581, CWE595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Нарушение логики сравнения объектов, проблемы при использовании объекта в Set, Map, или любых других коллекциях, которые зависят от корректной реализации метода equals(), ошибки, связанные с неверным поведением при проверке на равенство объектов.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Комментарий (опционально)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[Возможность дополнительного описания или уточнения для разработчика]</w:t>
            </w:r>
          </w:p>
        </w:tc>
      </w:tr>
    </w:tbl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MyClass {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boolean equals(Object obj) {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true;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21zgozg0os4q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java.util.Objects;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9b1tj8qukkj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tmeejqprshp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MyClass {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hj4nl8cgbm9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int id;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kpije3johao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g7myjdrf8y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MyClass(int id) {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3u7xbao28as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this.id = id;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1u5luxms96pk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3v2kavoig4w" w:id="8"/>
            <w:bookmarkEnd w:id="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2povxap3qgu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vlpr1erc95q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boolean equals(Object obj) {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lyqptctddg9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(this == obj) return true;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8dz24c2aofv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(obj == null || getClass() != obj.getClass()) return false;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cun6leq4n5k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MyClass myClass = (MyClass) obj;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crwc3796mt9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id == myClass.id;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yicgsvuqqg4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8lhvnpzrcti" w:id="16"/>
            <w:bookmarkEnd w:id="1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rw7k0zdzxkb" w:id="17"/>
            <w:bookmarkEnd w:id="1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89zoghrvd4h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int hashCode() {</w:t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z6omwp4on0d" w:id="19"/>
            <w:bookmarkEnd w:id="1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Objects.hash(id);</w:t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6x8v4l2jtc1" w:id="20"/>
            <w:bookmarkEnd w:id="2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4lavzj6cfg7" w:id="21"/>
            <w:bookmarkEnd w:id="2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36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Соблюдать контракт equals(): метод должен быть рефлексивным, симметричным, транзитивным, консистентным и правильно обрабатывать null, проверять равенство объектов в контексте их реального содержимого, а не просто возвращать true в любом случае, использовать генераторы equals().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6+R/qgCrudF36LoJBcWhIkVFOw==">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