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FB.EQ_COMPARETO_USE_OBJECT_EQUALS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определяет метод compareTo(...), но наследует его метод equals() из java.lang.Object. Обычно значение compareTo должно возвращать ноль, если и только если equals возвращает true. Если это нарушается, в таких классах, как PriorityQueue, будут происходить странные и непредсказуемые сбои. В Java 5 метод PriorityQueue.remove использует метод compareTo, тогда как в Java 6 он использует метод equals.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FB.EQ_COMPARETO_USE_OBJECT_EQUALS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 реализует интерфейс Comparable (реализует метод compareTo(...)), но не переопределяет equals(...), унаследованный от Object.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Несогласованность сравнения.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CWE20, CWE684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PriorityQueue, TreeSet, TreeMap, Collections.sort, Arrays.sort и другие структуры или методы могут работать неверно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Person implements Comparable&lt;Person&gt;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Person(String name)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compareTo(Person o)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this.name.compareTo(o.name);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4o0qvt17zbb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Person implements Comparable&lt;Person&gt;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pjopir2mnvm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1gjgy7msj1i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f42rdqsxij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Person(String name)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9lr6oz4piyo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40j3qbru0j1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t9jxz2kpyc2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psrblxj48jr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vwwrmv2ab4l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compareTo(Person o)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914naqjirld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this.name.compareTo(o.name);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lflms8rxg9l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drexcoxude1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gj5y5ljgils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w7jln7f4u4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owbzzuwytoy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uu3vbshb2rm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26pyevtbx41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Person other = (Person) obj;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5o3xt4xo4ko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name.equals(other.name);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g4tgf2v291x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5uma5p1t1yg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msnhc93dv2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aovfgueyc8n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cemfhzetub9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name.hashCode();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99vm4sk7dlv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mxszachupam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D">
      <w:pPr>
        <w:ind w:firstLine="851"/>
        <w:rPr>
          <w:rFonts w:ascii="Times New Roman" w:cs="Times New Roman" w:eastAsia="Times New Roman" w:hAnsi="Times New Roman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Если класс реализует Comparable, обязательно переопределить equals (и hashCode), убедиться, что compareTo(o) == 0 ⇔ equals(o) == true, использовать аннотацию @Override для контроля реализации</w:t>
          </w:r>
        </w:sdtContent>
      </w:sdt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KZhpuB5JLDnGIJlY2IWdKTR/3w==">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