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FB.BC_BAD_CAST_TO_CONCRETE_COLLECTION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преобразует абстрактную коллекцию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Collection, List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Set) </w:t>
      </w:r>
      <w:r>
        <w:rPr>
          <w:rFonts w:ascii="Times New Roman" w:hAnsi="Times New Roman" w:hint="default"/>
          <w:rtl w:val="0"/>
          <w:lang w:val="ru-RU"/>
        </w:rPr>
        <w:t xml:space="preserve">в конкретную конкретную реализацию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ArrayList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HashSet). </w:t>
      </w:r>
      <w:r>
        <w:rPr>
          <w:rFonts w:ascii="Times New Roman" w:hAnsi="Times New Roman" w:hint="default"/>
          <w:rtl w:val="0"/>
          <w:lang w:val="ru-RU"/>
        </w:rPr>
        <w:t>Это может быть неправильно и может сделать ваш код хрупким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 будущем будет сложнее переключиться на другие конкретные реализации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 вас нет для этого особой причины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используйте абстрактный класс коллекции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Приведение абстрактной коллекции к конкретной реализации снижает гибкость кода и делает его более хрупким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работать с абстрактными типами коллекций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List, Set, Collection),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сохранить гибкость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Приведение к конкретной реализации следует избегать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 этом нет крайней необходимости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это затруднит переход на другие реализации в будущем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Неправильное приведение к конкретной реализации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Это может привести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ClassCastException,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collection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является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s-ES_tradnl"/>
              </w:rPr>
              <w:t>ArrayList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ArrayList&lt;?&gt; arrayList = (ArrayList&lt;?&gt;) collection;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(Object item : arrayList)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processCollection(Collection&lt;?&gt;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Просто перебирать коллекцию без приведения ее к абстрактному типу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более безопасно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так как не зависит от типа коллекции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for (Object item : collection)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System.out.println(item);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Collection&lt;String&gt; collection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collection.add("apple");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collection.add("banana");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myClass.processCollection(collection);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абстрактные типы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Объявляйте переменные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параметры методов и возвращаемые значения с использованием абстрактных интерфейсов коллекций </w:t>
      </w:r>
      <w:r>
        <w:rPr>
          <w:rFonts w:ascii="Times New Roman" w:hAnsi="Times New Roman"/>
          <w:rtl w:val="0"/>
          <w:lang w:val="en-US"/>
        </w:rPr>
        <w:t xml:space="preserve">(Collection, List, Set, Map) </w:t>
      </w:r>
      <w:r>
        <w:rPr>
          <w:rFonts w:ascii="Times New Roman" w:hAnsi="Times New Roman" w:hint="default"/>
          <w:rtl w:val="0"/>
          <w:lang w:val="ru-RU"/>
        </w:rPr>
        <w:t xml:space="preserve">вместо конкретных реализаций </w:t>
      </w:r>
      <w:r>
        <w:rPr>
          <w:rFonts w:ascii="Times New Roman" w:hAnsi="Times New Roman"/>
          <w:rtl w:val="0"/>
          <w:lang w:val="en-US"/>
        </w:rPr>
        <w:t xml:space="preserve">(ArrayList, HashSet, HashMap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приведения к конкретным типам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нет абсолютно веской причины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приводите абстрактные коллекции к их конкретным реализациям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Работайте с общими интерфейсами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требования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Подумайте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действительно ли вам нужны специфические методы конкретной реализации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большинстве случаев функциональности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предоставляемой абстрактными интерфейсами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достаточно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Создавайте экземпляры с абстрактными типами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создании новых коллекций присваивайте их переменным абстрактных типов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List&lt;String&gt; myList = new ArrayList&lt;&gt;();).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