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FB.IJU_ASSERT_METHOD_INVOKED_FROM_RUN_METHOD</w:t>
      </w:r>
    </w:p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Ошибка 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которой утверждение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 xml:space="preserve">выполняется в методе </w:t>
      </w:r>
      <w:r>
        <w:rPr>
          <w:rFonts w:ascii="Times New Roman" w:hAnsi="Times New Roman"/>
          <w:rtl w:val="0"/>
          <w:lang w:val="ru-RU"/>
        </w:rPr>
        <w:t xml:space="preserve">run. </w:t>
      </w:r>
      <w:r>
        <w:rPr>
          <w:rFonts w:ascii="Times New Roman" w:hAnsi="Times New Roman" w:hint="default"/>
          <w:rtl w:val="0"/>
          <w:lang w:val="ru-RU"/>
        </w:rPr>
        <w:t xml:space="preserve">Неудачные утверждения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>просто приводят к возникновению исключений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исключение возникает в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отличном от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вызывающего метод тестирования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исключение завершит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приведет к сбою теста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CWE-617 (Reachable Assertion)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тестов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ложноположительные или ложноотрицательные результаты тестирования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потенциальное игнорирование ошибки в многопоточной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Вызов методов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assert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вне метода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run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 тестовых классах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JUnit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может привести к тому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 проверка не будет корректно обработана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и тесты не выявят ошибки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        assertEquals(1,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int[] result = new int[1];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result[0]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основном потоке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assertEquals(1, result[0]);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