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FB.IL_INFINITE_LOOP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цикл не имеет способа завершиться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кроме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возможно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выдачи исключения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CWE-835 (Loop with Unreachable Exit Condition)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Бесконечное выполнение программы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зависание потока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 xml:space="preserve">отказ в обслуживании </w:t>
            </w:r>
            <w:r>
              <w:rPr>
                <w:rFonts w:ascii="Times Roman" w:hAnsi="Times Roman"/>
                <w:rtl w:val="0"/>
              </w:rPr>
              <w:t>(DoS)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Ошибка возникает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когда цикл не имеет корректного условия выхода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 приводит к бесконечному выполнению кода и возможному зависанию приложения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4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public static void incorrectTest() {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int i = 0;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while (i &lt; 10) {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// ...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//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Без условия завершения или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//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 неверным условием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i--;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}</w:t>
            </w:r>
          </w:p>
          <w:p>
            <w:pPr>
              <w:pStyle w:val="Основной текст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  <w:p>
            <w:pPr>
              <w:pStyle w:val="Основной текст"/>
              <w:bidi w:val="0"/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i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while (i &lt; 10)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 условием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i++;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