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FB.JLM_JSR166_UTILCONCURRENT_MONITORENTER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выполняет синхронизацию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является экземпляром класса из пакета </w:t>
      </w:r>
      <w:r>
        <w:rPr>
          <w:rFonts w:ascii="Times New Roman" w:hAnsi="Times New Roman"/>
          <w:rtl w:val="0"/>
          <w:lang w:val="ru-RU"/>
        </w:rPr>
        <w:t>java.util.concurrent (</w:t>
      </w:r>
      <w:r>
        <w:rPr>
          <w:rFonts w:ascii="Times New Roman" w:hAnsi="Times New Roman" w:hint="default"/>
          <w:rtl w:val="0"/>
          <w:lang w:val="ru-RU"/>
        </w:rPr>
        <w:t>или его подклассов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Экземпляры этих классов имеют свои собственные механизмы управления параллелизмом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ортогональны синхронизации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обеспечиваемой ключевым словом </w:t>
      </w:r>
      <w:r>
        <w:rPr>
          <w:rFonts w:ascii="Times New Roman" w:hAnsi="Times New Roman"/>
          <w:rtl w:val="0"/>
          <w:lang w:val="ru-RU"/>
        </w:rPr>
        <w:t xml:space="preserve">Java Synchronized.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синхронизация по </w:t>
      </w:r>
      <w:r>
        <w:rPr>
          <w:rFonts w:ascii="Times New Roman" w:hAnsi="Times New Roman"/>
          <w:rtl w:val="0"/>
          <w:lang w:val="ru-RU"/>
        </w:rPr>
        <w:t xml:space="preserve">AtomicBoolean </w:t>
      </w:r>
      <w:r>
        <w:rPr>
          <w:rFonts w:ascii="Times New Roman" w:hAnsi="Times New Roman" w:hint="default"/>
          <w:rtl w:val="0"/>
          <w:lang w:val="ru-RU"/>
        </w:rPr>
        <w:t xml:space="preserve">не помешает другим потокам изменять </w:t>
      </w:r>
      <w:r>
        <w:rPr>
          <w:rFonts w:ascii="Times New Roman" w:hAnsi="Times New Roman"/>
          <w:rtl w:val="0"/>
          <w:lang w:val="ru-RU"/>
        </w:rPr>
        <w:t>AtomicBoolean.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Синхронизация на объектах из пакета </w:t>
            </w:r>
            <w:r>
              <w:rPr>
                <w:rFonts w:ascii="Times New Roman" w:hAnsi="Times New Roman"/>
                <w:rtl w:val="0"/>
              </w:rPr>
              <w:t>java.util.concurrent 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AtomicBoolean, ReentrantLock </w:t>
            </w:r>
            <w:r>
              <w:rPr>
                <w:rFonts w:ascii="Times New Roman" w:hAnsi="Times New Roman" w:hint="default"/>
                <w:rtl w:val="0"/>
              </w:rPr>
              <w:t>и т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д</w:t>
            </w:r>
            <w:r>
              <w:rPr>
                <w:rFonts w:ascii="Times New Roman" w:hAnsi="Times New Roman"/>
                <w:rtl w:val="0"/>
              </w:rPr>
              <w:t xml:space="preserve">.) </w:t>
            </w:r>
            <w:r>
              <w:rPr>
                <w:rFonts w:ascii="Times New Roman" w:hAnsi="Times New Roman" w:hint="default"/>
                <w:rtl w:val="0"/>
              </w:rPr>
              <w:t>может привести к некорректному использованию механизмов синхронизации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Эти классы уже имеют свои собственные встроенные механизмы управления параллелизмом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такие как атомарные операции или явные блокировки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которые работают независимо от механизма синхронизации </w:t>
            </w:r>
            <w:r>
              <w:rPr>
                <w:rFonts w:ascii="Times New Roman" w:hAnsi="Times New Roman"/>
                <w:rtl w:val="0"/>
              </w:rPr>
              <w:t>synchronized.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При работе с классами из </w:t>
            </w:r>
            <w:r>
              <w:rPr>
                <w:rFonts w:ascii="Times New Roman" w:hAnsi="Times New Roman"/>
                <w:rtl w:val="0"/>
              </w:rPr>
              <w:t xml:space="preserve">java.util.concurrent </w:t>
            </w:r>
            <w:r>
              <w:rPr>
                <w:rFonts w:ascii="Times New Roman" w:hAnsi="Times New Roman" w:hint="default"/>
                <w:rtl w:val="0"/>
              </w:rPr>
              <w:t>следует использовать их собственные методы синхронизации и блокировки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а не применять синхронизацию с помощью ключевого слова </w:t>
            </w:r>
            <w:r>
              <w:rPr>
                <w:rFonts w:ascii="Times New Roman" w:hAnsi="Times New Roman"/>
                <w:rtl w:val="0"/>
              </w:rPr>
              <w:t>synchronized.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AtomicBoolean lock = new AtomicBoolean(false);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синхронизация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AtomicBoolean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AtomicBoolean lock = new AtomicBoolean(false);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используем синхронизацию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так как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AtomicBoolean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уже управляет параллелизмом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(lock.compareAndSet(false, true))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lock.set(false);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Обновление по завершении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