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FB.UMAC_UNCALLABLE_METHOD_OF_ANONYMOUS_CLASS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анонимный класс определяет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вызывается напрямую и не переопределяет метод в суперклассе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методы других классов не могут напрямую вызывать методы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объявленные в анонимном 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кажется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этот метод не вызывается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Метод может быть просто мертвым кодом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также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предназначен для переопределения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объявленного в суперклассе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опечатки или другой ошибки метод фактически не переопределяет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которого он предназначен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определённый в анонимном 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будет вызван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неработающему функционалу или наличию мёртвого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худшем случае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метод должен был переопределять метод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ошибки этого не делает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программа может работать некорректно или не обрабатывать определённые сценарии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проверить необходимость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метод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следует удалить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если он должен переопределять метод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убедиться в корректности его объявления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Runnable runnable = new Runnable()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execute()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нигде не вызывается 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переопределяет метод суперкласса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Runnable runnable = new Runnable()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execute();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execute()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Удаление неиспользуемого метода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определённый в анонимном классе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действительно нигде не вызывается внутри этого класса и не переопределяет метод суперкласса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 этот метод является мёртвым кодом и его следует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Удаление неиспользуемого кода делает программу чище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понятнее и потенциально немного эффективнее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Вызов метода внутри анонимного класса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метод предназначен для использования внутри самого анонимного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 вызывается из других методов этого же анонимного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приведённом примере некорректного кода метод </w:t>
      </w:r>
      <w:r>
        <w:rPr>
          <w:rFonts w:ascii="Times New Roman" w:hAnsi="Times New Roman"/>
          <w:rtl w:val="0"/>
        </w:rPr>
        <w:t xml:space="preserve">execute() </w:t>
      </w:r>
      <w:r>
        <w:rPr>
          <w:rFonts w:ascii="Times New Roman" w:hAnsi="Times New Roman" w:hint="default"/>
          <w:rtl w:val="0"/>
          <w:lang w:val="ru-RU"/>
        </w:rPr>
        <w:t>не вызывается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корректном примере он вызывается из метода </w:t>
      </w:r>
      <w:r>
        <w:rPr>
          <w:rFonts w:ascii="Times New Roman" w:hAnsi="Times New Roman"/>
          <w:rtl w:val="0"/>
        </w:rPr>
        <w:t>run().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