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A09A" w14:textId="77777777" w:rsidR="009F3F63" w:rsidRDefault="009F3F63" w:rsidP="00A604DB">
      <w:pPr>
        <w:pStyle w:val="tdtext"/>
        <w:ind w:firstLine="0"/>
        <w:rPr>
          <w:rFonts w:ascii="Times New Roman" w:hAnsi="Times New Roman"/>
        </w:rPr>
      </w:pPr>
      <w:r w:rsidRPr="009F3F63">
        <w:rPr>
          <w:rFonts w:ascii="Times New Roman" w:hAnsi="Times New Roman"/>
          <w:lang w:val="en-US"/>
        </w:rPr>
        <w:t>FB.TQ_EXPLICIT_UNKNOWN_SOURCE_VALUE_REACHES_ALWAYS_SINK</w:t>
      </w:r>
    </w:p>
    <w:p w14:paraId="75BA7FBB" w14:textId="5161F5CB" w:rsidR="005D7FD6" w:rsidRPr="009F3F63" w:rsidRDefault="00F840EC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9F3F63">
        <w:rPr>
          <w:rFonts w:ascii="Times New Roman" w:hAnsi="Times New Roman"/>
          <w:lang w:val="en-US"/>
        </w:rPr>
        <w:tab/>
      </w:r>
      <w:r w:rsidR="009F3F63" w:rsidRPr="009F3F63">
        <w:rPr>
          <w:rFonts w:ascii="Times New Roman" w:hAnsi="Times New Roman"/>
        </w:rPr>
        <w:t xml:space="preserve">Значение используется таким образом, что оно всегда должно быть значением, обозначенным квалификатором типа, но существует явная аннотация, указывающая, что неизвестно, где значение должно иметь этот квалификатор типа. </w:t>
      </w:r>
      <w:proofErr w:type="spellStart"/>
      <w:r w:rsidR="009F3F63" w:rsidRPr="009F3F63">
        <w:rPr>
          <w:rFonts w:ascii="Times New Roman" w:hAnsi="Times New Roman"/>
          <w:lang w:val="en-US"/>
        </w:rPr>
        <w:t>Либо</w:t>
      </w:r>
      <w:proofErr w:type="spellEnd"/>
      <w:r w:rsidR="009F3F63" w:rsidRPr="009F3F63">
        <w:rPr>
          <w:rFonts w:ascii="Times New Roman" w:hAnsi="Times New Roman"/>
          <w:lang w:val="en-US"/>
        </w:rPr>
        <w:t xml:space="preserve"> </w:t>
      </w:r>
      <w:proofErr w:type="spellStart"/>
      <w:r w:rsidR="009F3F63" w:rsidRPr="009F3F63">
        <w:rPr>
          <w:rFonts w:ascii="Times New Roman" w:hAnsi="Times New Roman"/>
          <w:lang w:val="en-US"/>
        </w:rPr>
        <w:t>использование</w:t>
      </w:r>
      <w:proofErr w:type="spellEnd"/>
      <w:r w:rsidR="009F3F63" w:rsidRPr="009F3F63">
        <w:rPr>
          <w:rFonts w:ascii="Times New Roman" w:hAnsi="Times New Roman"/>
          <w:lang w:val="en-US"/>
        </w:rPr>
        <w:t xml:space="preserve">, </w:t>
      </w:r>
      <w:proofErr w:type="spellStart"/>
      <w:r w:rsidR="009F3F63" w:rsidRPr="009F3F63">
        <w:rPr>
          <w:rFonts w:ascii="Times New Roman" w:hAnsi="Times New Roman"/>
          <w:lang w:val="en-US"/>
        </w:rPr>
        <w:t>либо</w:t>
      </w:r>
      <w:proofErr w:type="spellEnd"/>
      <w:r w:rsidR="009F3F63" w:rsidRPr="009F3F63">
        <w:rPr>
          <w:rFonts w:ascii="Times New Roman" w:hAnsi="Times New Roman"/>
          <w:lang w:val="en-US"/>
        </w:rPr>
        <w:t xml:space="preserve"> </w:t>
      </w:r>
      <w:proofErr w:type="spellStart"/>
      <w:r w:rsidR="009F3F63" w:rsidRPr="009F3F63">
        <w:rPr>
          <w:rFonts w:ascii="Times New Roman" w:hAnsi="Times New Roman"/>
          <w:lang w:val="en-US"/>
        </w:rPr>
        <w:t>аннотация</w:t>
      </w:r>
      <w:proofErr w:type="spellEnd"/>
      <w:r w:rsidR="009F3F63" w:rsidRPr="009F3F63">
        <w:rPr>
          <w:rFonts w:ascii="Times New Roman" w:hAnsi="Times New Roman"/>
          <w:lang w:val="en-US"/>
        </w:rPr>
        <w:t xml:space="preserve"> </w:t>
      </w:r>
      <w:proofErr w:type="spellStart"/>
      <w:r w:rsidR="009F3F63" w:rsidRPr="009F3F63">
        <w:rPr>
          <w:rFonts w:ascii="Times New Roman" w:hAnsi="Times New Roman"/>
          <w:lang w:val="en-US"/>
        </w:rPr>
        <w:t>неверны</w:t>
      </w:r>
      <w:proofErr w:type="spellEnd"/>
      <w:r w:rsidR="009F3F63" w:rsidRPr="009F3F63">
        <w:rPr>
          <w:rFonts w:ascii="Times New Roman" w:hAnsi="Times New Roman"/>
          <w:lang w:val="en-US"/>
        </w:rPr>
        <w:t>.</w:t>
      </w:r>
    </w:p>
    <w:p w14:paraId="48272EAE" w14:textId="000E9055" w:rsidR="00372DB1" w:rsidRPr="009F3F63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9F3F63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9F3F6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9F3F63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9F3F63">
        <w:rPr>
          <w:rFonts w:ascii="Times New Roman" w:hAnsi="Times New Roman"/>
          <w:lang w:val="en-US"/>
        </w:rPr>
        <w:t xml:space="preserve"> </w:t>
      </w:r>
      <w:r w:rsidR="009F3F63" w:rsidRPr="009F3F63">
        <w:rPr>
          <w:rFonts w:ascii="Times New Roman" w:hAnsi="Times New Roman"/>
          <w:lang w:val="en-US"/>
        </w:rPr>
        <w:t>FB.TQ_EXPLICIT_UNKNOWN_SOURCE_VALUE_REACHES_ALWAYS_SINK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EB0DC60" w:rsidR="00372DB1" w:rsidRDefault="009F3F63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9F3F63">
              <w:rPr>
                <w:rFonts w:ascii="Times New Roman" w:eastAsia="Times New Roman" w:hAnsi="Times New Roman" w:cs="Times New Roman"/>
                <w:lang w:eastAsia="ru-RU"/>
              </w:rPr>
              <w:t xml:space="preserve">Data </w:t>
            </w:r>
            <w:proofErr w:type="spellStart"/>
            <w:r w:rsidRPr="009F3F63">
              <w:rPr>
                <w:rFonts w:ascii="Times New Roman" w:eastAsia="Times New Roman" w:hAnsi="Times New Roman" w:cs="Times New Roman"/>
                <w:lang w:eastAsia="ru-RU"/>
              </w:rPr>
              <w:t>Flow</w:t>
            </w:r>
            <w:proofErr w:type="spellEnd"/>
            <w:r w:rsidRPr="009F3F63">
              <w:rPr>
                <w:rFonts w:ascii="Times New Roman" w:eastAsia="Times New Roman" w:hAnsi="Times New Roman" w:cs="Times New Roman"/>
                <w:lang w:eastAsia="ru-RU"/>
              </w:rPr>
              <w:t xml:space="preserve"> Analysis </w:t>
            </w:r>
            <w:proofErr w:type="spellStart"/>
            <w:r w:rsidRPr="009F3F63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91E9" w14:textId="77777777" w:rsidR="009F3F63" w:rsidRPr="009F3F63" w:rsidRDefault="009F3F63" w:rsidP="009F3F6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3F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Потенциальная утечка данных</w:t>
            </w:r>
          </w:p>
          <w:p w14:paraId="57C79CF1" w14:textId="77777777" w:rsidR="009F3F63" w:rsidRPr="009F3F63" w:rsidRDefault="009F3F63" w:rsidP="009F3F6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3F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информации</w:t>
            </w:r>
          </w:p>
          <w:p w14:paraId="70FE97CD" w14:textId="3D5610F1" w:rsidR="00372DB1" w:rsidRPr="009F3F63" w:rsidRDefault="009F3F63" w:rsidP="009F3F63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3F6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политик безопасности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3DD7838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25A0278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eastAsia="ru-RU"/>
              </w:rPr>
            </w:pPr>
            <w:r w:rsidRPr="009F3F63">
              <w:rPr>
                <w:rFonts w:ascii="Times New Roman" w:hAnsi="Times New Roman" w:cs="Times New Roman"/>
                <w:lang w:eastAsia="ru-RU"/>
              </w:rPr>
              <w:t xml:space="preserve">        // Некорректно: передача непроверенных данных в опасный метод</w:t>
            </w:r>
          </w:p>
          <w:p w14:paraId="221D6E77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String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System.getenv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("SENSITIVE_DATA");</w:t>
            </w:r>
          </w:p>
          <w:p w14:paraId="5E239FE6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logSensitiveData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);  // </w:t>
            </w:r>
            <w:r w:rsidRPr="009F3F63">
              <w:rPr>
                <w:rFonts w:ascii="Times New Roman" w:hAnsi="Times New Roman" w:cs="Times New Roman"/>
                <w:lang w:eastAsia="ru-RU"/>
              </w:rPr>
              <w:t>Всегда</w:t>
            </w: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F3F63">
              <w:rPr>
                <w:rFonts w:ascii="Times New Roman" w:hAnsi="Times New Roman" w:cs="Times New Roman"/>
                <w:lang w:eastAsia="ru-RU"/>
              </w:rPr>
              <w:t>попадает</w:t>
            </w: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F3F63">
              <w:rPr>
                <w:rFonts w:ascii="Times New Roman" w:hAnsi="Times New Roman" w:cs="Times New Roman"/>
                <w:lang w:eastAsia="ru-RU"/>
              </w:rPr>
              <w:t>в</w:t>
            </w: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sink</w:t>
            </w:r>
          </w:p>
          <w:p w14:paraId="17BA1E23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Pr="009F3F63" w:rsidRDefault="00372DB1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</w:p>
        </w:tc>
        <w:tc>
          <w:tcPr>
            <w:tcW w:w="5239" w:type="dxa"/>
          </w:tcPr>
          <w:p w14:paraId="0E64F901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9F3F63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52B15DE6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eastAsia="ru-RU"/>
              </w:rPr>
            </w:pPr>
            <w:r w:rsidRPr="009F3F63">
              <w:rPr>
                <w:rFonts w:ascii="Times New Roman" w:hAnsi="Times New Roman" w:cs="Times New Roman"/>
                <w:lang w:eastAsia="ru-RU"/>
              </w:rPr>
              <w:t xml:space="preserve">        // Корректно: валидация перед передачей в </w:t>
            </w:r>
            <w:proofErr w:type="spellStart"/>
            <w:r w:rsidRPr="009F3F63">
              <w:rPr>
                <w:rFonts w:ascii="Times New Roman" w:hAnsi="Times New Roman" w:cs="Times New Roman"/>
                <w:lang w:eastAsia="ru-RU"/>
              </w:rPr>
              <w:t>sink</w:t>
            </w:r>
            <w:proofErr w:type="spellEnd"/>
          </w:p>
          <w:p w14:paraId="796C25C8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String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System.getenv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("SENSITIVE_DATA");</w:t>
            </w:r>
          </w:p>
          <w:p w14:paraId="44F252B5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if (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isSafeToLog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1F5BB6B5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logSensitiveData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C7D0623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} else {</w:t>
            </w:r>
          </w:p>
          <w:p w14:paraId="03613207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9F3F6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9F3F63">
              <w:rPr>
                <w:rFonts w:ascii="Times New Roman" w:hAnsi="Times New Roman" w:cs="Times New Roman"/>
                <w:lang w:val="en-US" w:eastAsia="ru-RU"/>
              </w:rPr>
              <w:t>("Data not safe for logging");</w:t>
            </w:r>
          </w:p>
          <w:p w14:paraId="42C8EAB1" w14:textId="77777777" w:rsidR="009F3F63" w:rsidRPr="009F3F63" w:rsidRDefault="009F3F63" w:rsidP="009F3F63">
            <w:pPr>
              <w:rPr>
                <w:rFonts w:ascii="Times New Roman" w:hAnsi="Times New Roman" w:cs="Times New Roman"/>
                <w:lang w:eastAsia="ru-RU"/>
              </w:rPr>
            </w:pPr>
            <w:r w:rsidRPr="009F3F6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9F3F63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396367D0" w:rsidR="00372DB1" w:rsidRPr="005D7FD6" w:rsidRDefault="009F3F6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F3F63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708C5"/>
    <w:multiLevelType w:val="multilevel"/>
    <w:tmpl w:val="501E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3"/>
  </w:num>
  <w:num w:numId="2" w16cid:durableId="951322051">
    <w:abstractNumId w:val="7"/>
  </w:num>
  <w:num w:numId="3" w16cid:durableId="248387696">
    <w:abstractNumId w:val="6"/>
  </w:num>
  <w:num w:numId="4" w16cid:durableId="248002340">
    <w:abstractNumId w:val="4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5"/>
  </w:num>
  <w:num w:numId="8" w16cid:durableId="571743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1094E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9F3F63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F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F3F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