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C2CF" w14:textId="77777777" w:rsidR="0041613C" w:rsidRDefault="0041613C" w:rsidP="00A604DB">
      <w:pPr>
        <w:pStyle w:val="tdtext"/>
        <w:ind w:firstLine="0"/>
        <w:rPr>
          <w:rFonts w:ascii="Times New Roman" w:hAnsi="Times New Roman"/>
        </w:rPr>
      </w:pPr>
      <w:r w:rsidRPr="0041613C">
        <w:rPr>
          <w:rFonts w:ascii="Times New Roman" w:hAnsi="Times New Roman"/>
          <w:lang w:val="en-US"/>
        </w:rPr>
        <w:t>FB.TQ_EXPLICIT_UNKNOWN_SOURCE_VALUE_REACHES_NEVER_SINK</w:t>
      </w:r>
    </w:p>
    <w:p w14:paraId="75BA7FBB" w14:textId="388C6D94" w:rsidR="005D7FD6" w:rsidRPr="0041613C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41613C">
        <w:rPr>
          <w:rFonts w:ascii="Times New Roman" w:hAnsi="Times New Roman"/>
          <w:lang w:val="en-US"/>
        </w:rPr>
        <w:tab/>
      </w:r>
      <w:r w:rsidR="0041613C" w:rsidRPr="0041613C">
        <w:rPr>
          <w:rFonts w:ascii="Times New Roman" w:hAnsi="Times New Roman"/>
        </w:rPr>
        <w:t xml:space="preserve">Значение используется таким образом, что оно никогда не должно быть значением, обозначаемым квалификатором типа, но существует явная аннотация, указывающая, что неизвестно, где этому значению запрещено иметь этот квалификатор типа. </w:t>
      </w:r>
      <w:proofErr w:type="spellStart"/>
      <w:r w:rsidR="0041613C" w:rsidRPr="0041613C">
        <w:rPr>
          <w:rFonts w:ascii="Times New Roman" w:hAnsi="Times New Roman"/>
          <w:lang w:val="en-US"/>
        </w:rPr>
        <w:t>Либо</w:t>
      </w:r>
      <w:proofErr w:type="spellEnd"/>
      <w:r w:rsidR="0041613C" w:rsidRPr="0041613C">
        <w:rPr>
          <w:rFonts w:ascii="Times New Roman" w:hAnsi="Times New Roman"/>
          <w:lang w:val="en-US"/>
        </w:rPr>
        <w:t xml:space="preserve"> </w:t>
      </w:r>
      <w:proofErr w:type="spellStart"/>
      <w:r w:rsidR="0041613C" w:rsidRPr="0041613C">
        <w:rPr>
          <w:rFonts w:ascii="Times New Roman" w:hAnsi="Times New Roman"/>
          <w:lang w:val="en-US"/>
        </w:rPr>
        <w:t>использование</w:t>
      </w:r>
      <w:proofErr w:type="spellEnd"/>
      <w:r w:rsidR="0041613C" w:rsidRPr="0041613C">
        <w:rPr>
          <w:rFonts w:ascii="Times New Roman" w:hAnsi="Times New Roman"/>
          <w:lang w:val="en-US"/>
        </w:rPr>
        <w:t xml:space="preserve">, </w:t>
      </w:r>
      <w:proofErr w:type="spellStart"/>
      <w:r w:rsidR="0041613C" w:rsidRPr="0041613C">
        <w:rPr>
          <w:rFonts w:ascii="Times New Roman" w:hAnsi="Times New Roman"/>
          <w:lang w:val="en-US"/>
        </w:rPr>
        <w:t>либо</w:t>
      </w:r>
      <w:proofErr w:type="spellEnd"/>
      <w:r w:rsidR="0041613C" w:rsidRPr="0041613C">
        <w:rPr>
          <w:rFonts w:ascii="Times New Roman" w:hAnsi="Times New Roman"/>
          <w:lang w:val="en-US"/>
        </w:rPr>
        <w:t xml:space="preserve"> </w:t>
      </w:r>
      <w:proofErr w:type="spellStart"/>
      <w:r w:rsidR="0041613C" w:rsidRPr="0041613C">
        <w:rPr>
          <w:rFonts w:ascii="Times New Roman" w:hAnsi="Times New Roman"/>
          <w:lang w:val="en-US"/>
        </w:rPr>
        <w:t>аннотация</w:t>
      </w:r>
      <w:proofErr w:type="spellEnd"/>
      <w:r w:rsidR="0041613C" w:rsidRPr="0041613C">
        <w:rPr>
          <w:rFonts w:ascii="Times New Roman" w:hAnsi="Times New Roman"/>
          <w:lang w:val="en-US"/>
        </w:rPr>
        <w:t xml:space="preserve"> </w:t>
      </w:r>
      <w:proofErr w:type="spellStart"/>
      <w:r w:rsidR="0041613C" w:rsidRPr="0041613C">
        <w:rPr>
          <w:rFonts w:ascii="Times New Roman" w:hAnsi="Times New Roman"/>
          <w:lang w:val="en-US"/>
        </w:rPr>
        <w:t>неверны</w:t>
      </w:r>
      <w:proofErr w:type="spellEnd"/>
      <w:r w:rsidR="0041613C" w:rsidRPr="0041613C">
        <w:rPr>
          <w:rFonts w:ascii="Times New Roman" w:hAnsi="Times New Roman"/>
          <w:lang w:val="en-US"/>
        </w:rPr>
        <w:t>.</w:t>
      </w:r>
    </w:p>
    <w:p w14:paraId="48272EAE" w14:textId="72EFF6A8" w:rsidR="00372DB1" w:rsidRPr="0041613C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41613C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41613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41613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41613C">
        <w:rPr>
          <w:rFonts w:ascii="Times New Roman" w:hAnsi="Times New Roman"/>
          <w:lang w:val="en-US"/>
        </w:rPr>
        <w:t xml:space="preserve"> </w:t>
      </w:r>
      <w:r w:rsidR="0041613C" w:rsidRPr="0041613C">
        <w:rPr>
          <w:rFonts w:ascii="Times New Roman" w:hAnsi="Times New Roman"/>
          <w:lang w:val="en-US"/>
        </w:rPr>
        <w:t>FB.TQ_EXPLICIT_UNKNOWN_SOURCE_VALUE_REACHES_NEVER_SINK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41613C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2BEDC3C" w:rsidR="00372DB1" w:rsidRPr="0041613C" w:rsidRDefault="0041613C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1613C">
              <w:rPr>
                <w:rFonts w:ascii="Times New Roman" w:eastAsia="Times New Roman" w:hAnsi="Times New Roman" w:cs="Times New Roman"/>
                <w:lang w:val="en-US" w:eastAsia="ru-RU"/>
              </w:rPr>
              <w:t>Data Flow Analysis False Positive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D27" w14:textId="77777777" w:rsidR="0041613C" w:rsidRPr="0041613C" w:rsidRDefault="0041613C" w:rsidP="0041613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1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Ложные срабатывания анализатора</w:t>
            </w:r>
          </w:p>
          <w:p w14:paraId="0F6C8654" w14:textId="77777777" w:rsidR="0041613C" w:rsidRPr="0041613C" w:rsidRDefault="0041613C" w:rsidP="0041613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1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Избыточные проверки в коде</w:t>
            </w:r>
          </w:p>
          <w:p w14:paraId="70FE97CD" w14:textId="690F2320" w:rsidR="00372DB1" w:rsidRPr="0041613C" w:rsidRDefault="0041613C" w:rsidP="0041613C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61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процесса разработки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8D15633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1E4C12A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// Некорректный случай, который может вызвать ложное срабатывание анализатора</w:t>
            </w:r>
          </w:p>
          <w:p w14:paraId="4FD33702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getAlwaysNonNullData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74F21DE4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771AFB0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==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>) {  // Условие никогда не выполнится</w:t>
            </w:r>
          </w:p>
          <w:p w14:paraId="2F6DB028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processData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);  //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Sink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никогда не будет достигнут</w:t>
            </w:r>
          </w:p>
          <w:p w14:paraId="1E0BB15F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3A34D3F7" w:rsidR="00372DB1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50A182D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1613C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41613C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F4E32F6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// Корректная реализация без избыточных проверок</w:t>
            </w:r>
          </w:p>
          <w:p w14:paraId="2606058C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1613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1613C">
              <w:rPr>
                <w:rFonts w:ascii="Times New Roman" w:hAnsi="Times New Roman" w:cs="Times New Roman"/>
                <w:lang w:val="en-US" w:eastAsia="ru-RU"/>
              </w:rPr>
              <w:t xml:space="preserve">String data = </w:t>
            </w:r>
            <w:proofErr w:type="spellStart"/>
            <w:r w:rsidRPr="0041613C">
              <w:rPr>
                <w:rFonts w:ascii="Times New Roman" w:hAnsi="Times New Roman" w:cs="Times New Roman"/>
                <w:lang w:val="en-US" w:eastAsia="ru-RU"/>
              </w:rPr>
              <w:t>getAlwaysNonNullData</w:t>
            </w:r>
            <w:proofErr w:type="spellEnd"/>
            <w:r w:rsidRPr="0041613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00FA134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1613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41613C">
              <w:rPr>
                <w:rFonts w:ascii="Times New Roman" w:hAnsi="Times New Roman" w:cs="Times New Roman"/>
                <w:lang w:val="en-US" w:eastAsia="ru-RU"/>
              </w:rPr>
              <w:t>processData</w:t>
            </w:r>
            <w:proofErr w:type="spellEnd"/>
            <w:r w:rsidRPr="0041613C">
              <w:rPr>
                <w:rFonts w:ascii="Times New Roman" w:hAnsi="Times New Roman" w:cs="Times New Roman"/>
                <w:lang w:val="en-US" w:eastAsia="ru-RU"/>
              </w:rPr>
              <w:t xml:space="preserve">(data);  // </w:t>
            </w:r>
            <w:r w:rsidRPr="0041613C">
              <w:rPr>
                <w:rFonts w:ascii="Times New Roman" w:hAnsi="Times New Roman" w:cs="Times New Roman"/>
                <w:lang w:eastAsia="ru-RU"/>
              </w:rPr>
              <w:t>Прямая</w:t>
            </w:r>
            <w:r w:rsidRPr="0041613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1613C">
              <w:rPr>
                <w:rFonts w:ascii="Times New Roman" w:hAnsi="Times New Roman" w:cs="Times New Roman"/>
                <w:lang w:eastAsia="ru-RU"/>
              </w:rPr>
              <w:t>передача</w:t>
            </w:r>
            <w:r w:rsidRPr="0041613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1613C">
              <w:rPr>
                <w:rFonts w:ascii="Times New Roman" w:hAnsi="Times New Roman" w:cs="Times New Roman"/>
                <w:lang w:eastAsia="ru-RU"/>
              </w:rPr>
              <w:t>данных</w:t>
            </w:r>
          </w:p>
          <w:p w14:paraId="02A81D76" w14:textId="77777777" w:rsidR="0041613C" w:rsidRPr="0041613C" w:rsidRDefault="0041613C" w:rsidP="0041613C">
            <w:pPr>
              <w:rPr>
                <w:rFonts w:ascii="Times New Roman" w:hAnsi="Times New Roman" w:cs="Times New Roman"/>
                <w:lang w:eastAsia="ru-RU"/>
              </w:rPr>
            </w:pPr>
            <w:r w:rsidRPr="0041613C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41613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CE9"/>
    <w:multiLevelType w:val="multilevel"/>
    <w:tmpl w:val="87D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18424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1613C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