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HANDLE_LEAK.EXCEPTION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Генерируется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ресурс не освобождается в случае возникновения исключения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ресурс не освобождается при обработке исключений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может привести к утечке этого ресурса при возникновении ошибки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CWE404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Может привести к утечке системных ресурсов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файловых дескрипторов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повторяющихся ошибках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влияет на стабильность и производительность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Рекомендуется использовать конструкции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гарантирующие освобождение ресурсов даже при исключениях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блоки </w:t>
            </w:r>
            <w:r>
              <w:rPr>
                <w:rFonts w:ascii="Times New Roman" w:hAnsi="Times New Roman"/>
                <w:rtl w:val="0"/>
              </w:rPr>
              <w:t xml:space="preserve">finally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try-with-resources, </w:t>
            </w:r>
            <w:r>
              <w:rPr>
                <w:rFonts w:ascii="Times New Roman" w:hAnsi="Times New Roman" w:hint="default"/>
                <w:rtl w:val="0"/>
              </w:rPr>
              <w:t>чтобы обеспечить корректное завершение работы с ресурсами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FileInputStream fis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fis = new FileInputStream("test.txt");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возможное исключение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data = fis.read();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здесь исключение обработано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но ресурс не закрыт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!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 чтения файла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Если исключение произошло ДО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fis.close()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— файл останется открытым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(FileInputStream fis = new FileInputStream("test.txt"))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data = fis.read();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 чтения файла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