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в цикле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в цикле может привести к непредсказуемым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ошибкам в логике программы и даже к сбоям или нарушению целостности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Необходимо внимательно контролировать значения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изменяемые в цикле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 обеспечить проверку на переполнение до выполнения операций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избежать потери данных или некорректных вычислений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(result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Используем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long,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чтобы избежать переполнения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(result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