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8bbb10f07eb744f12765e6afb39b7ffc1d3131"/>
    <w:p>
      <w:pPr>
        <w:pStyle w:val="Heading1"/>
      </w:pPr>
      <w:r>
        <w:t xml:space="preserve">Module 03 — Batching, Caching, and Queuing (Instructor Guide)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55–70 minutes (the most technical and valuable module of the day)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Students leave understanding exactly why production LLM servers use dynamic batching and response caching, and how to configure them on OpenShift AI.</w:t>
      </w:r>
    </w:p>
    <w:p>
      <w:r>
        <w:pict>
          <v:rect style="width:0;height:1.5pt" o:hralign="center" o:hrstd="t" o:hr="t"/>
        </w:pict>
      </w:r>
    </w:p>
    <w:bookmarkStart w:id="9" w:name="why-this-module-matters"/>
    <w:p>
      <w:pPr>
        <w:pStyle w:val="Heading2"/>
      </w:pPr>
      <w:r>
        <w:t xml:space="preserve">Why This Module Matters</w:t>
      </w:r>
    </w:p>
    <w:p>
      <w:pPr>
        <w:pStyle w:val="FirstParagraph"/>
      </w:pPr>
      <w:r>
        <w:t xml:space="preserve">Most</w:t>
      </w:r>
      <w:r>
        <w:t xml:space="preserve"> </w:t>
      </w:r>
      <w:r>
        <w:t xml:space="preserve">“AI demos”</w:t>
      </w:r>
      <w:r>
        <w:t xml:space="preserve"> </w:t>
      </w:r>
      <w:r>
        <w:t xml:space="preserve">show one request at a time. Real workloads are 20–200 concurrent users. The difference between a model that can handle that load and one that collapses is almost entirely</w:t>
      </w:r>
      <w:r>
        <w:t xml:space="preserve"> </w:t>
      </w:r>
      <w:r>
        <w:rPr>
          <w:b/>
          <w:bCs/>
        </w:rPr>
        <w:t xml:space="preserve">batching + caching + queuing</w:t>
      </w:r>
      <w:r>
        <w:t xml:space="preserve"> </w:t>
      </w:r>
      <w:r>
        <w:t xml:space="preserve">configuration inside the runtime (Triton in this case).</w:t>
      </w:r>
    </w:p>
    <w:p>
      <w:r>
        <w:pict>
          <v:rect style="width:0;height:1.5pt" o:hralign="center" o:hrstd="t" o:hr="t"/>
        </w:pict>
      </w:r>
    </w:p>
    <w:bookmarkEnd w:id="9"/>
    <w:bookmarkStart w:id="10" w:name="pre-class-preparation"/>
    <w:p>
      <w:pPr>
        <w:pStyle w:val="Heading2"/>
      </w:pPr>
      <w:r>
        <w:t xml:space="preserve">Pre-Class Preparation</w:t>
      </w:r>
    </w:p>
    <w:p>
      <w:pPr>
        <w:pStyle w:val="Compact"/>
        <w:numPr>
          <w:ilvl w:val="0"/>
          <w:numId w:val="1001"/>
        </w:numPr>
      </w:pPr>
      <w:r>
        <w:t xml:space="preserve">Model from Module 02 still running</w:t>
      </w:r>
    </w:p>
    <w:p>
      <w:pPr>
        <w:pStyle w:val="Compact"/>
        <w:numPr>
          <w:ilvl w:val="0"/>
          <w:numId w:val="1001"/>
        </w:numPr>
      </w:pPr>
      <w:r>
        <w:t xml:space="preserve">You have admin or edit rights on the ServingRuntime (or you pre-created two versions:</w:t>
      </w:r>
      <w:r>
        <w:t xml:space="preserve"> </w:t>
      </w:r>
      <w:r>
        <w:rPr>
          <w:rStyle w:val="VerbatimChar"/>
        </w:rPr>
        <w:t xml:space="preserve">triton-batch-1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triton-batch-8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The model repository contains a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you can edit live (easiest) or you edit the ServingRuntime args</w:t>
      </w:r>
    </w:p>
    <w:p>
      <w:pPr>
        <w:pStyle w:val="Compact"/>
        <w:numPr>
          <w:ilvl w:val="0"/>
          <w:numId w:val="1001"/>
        </w:numPr>
      </w:pPr>
      <w:r>
        <w:t xml:space="preserve">Students have their baseline numbers from Module 02</w:t>
      </w:r>
    </w:p>
    <w:p>
      <w:r>
        <w:pict>
          <v:rect style="width:0;height:1.5pt" o:hralign="center" o:hrstd="t" o:hr="t"/>
        </w:pict>
      </w:r>
    </w:p>
    <w:bookmarkEnd w:id="10"/>
    <w:bookmarkStart w:id="14" w:name="the-demo-script-live-editing"/>
    <w:p>
      <w:pPr>
        <w:pStyle w:val="Heading2"/>
      </w:pPr>
      <w:r>
        <w:t xml:space="preserve">The Demo Script (Live Editing)</w:t>
      </w:r>
    </w:p>
    <w:bookmarkStart w:id="11" w:name="phase-1-the-bad-default-max_batch_size-1"/>
    <w:p>
      <w:pPr>
        <w:pStyle w:val="Heading3"/>
      </w:pPr>
      <w:r>
        <w:t xml:space="preserve">Phase 1 —</w:t>
      </w:r>
      <w:r>
        <w:t xml:space="preserve"> </w:t>
      </w:r>
      <w:r>
        <w:t xml:space="preserve">“The Bad Default”</w:t>
      </w:r>
      <w:r>
        <w:t xml:space="preserve"> </w:t>
      </w:r>
      <w:r>
        <w:t xml:space="preserve">(max_batch_size = 1)</w:t>
      </w:r>
    </w:p>
    <w:p>
      <w:pPr>
        <w:numPr>
          <w:ilvl w:val="0"/>
          <w:numId w:val="1002"/>
        </w:numPr>
      </w:pPr>
      <w:r>
        <w:t xml:space="preserve">Show the current model config (either in the dashboard or</w:t>
      </w:r>
      <w:r>
        <w:t xml:space="preserve"> </w:t>
      </w:r>
      <w:r>
        <w:rPr>
          <w:rStyle w:val="VerbatimChar"/>
        </w:rPr>
        <w:t xml:space="preserve">oc get inferenceservice -o yaml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If using a custom Triton runtime, open the ServingRuntime and show: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no dynamic_batching stanza yet</w:t>
      </w:r>
    </w:p>
    <w:p>
      <w:pPr>
        <w:numPr>
          <w:ilvl w:val="0"/>
          <w:numId w:val="1002"/>
        </w:numPr>
      </w:pPr>
      <w:r>
        <w:t xml:space="preserve">In the model repository (S3 or the PVC), show the current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max_batch_size: 1</w:t>
      </w:r>
    </w:p>
    <w:p>
      <w:pPr>
        <w:numPr>
          <w:ilvl w:val="0"/>
          <w:numId w:val="1002"/>
        </w:numPr>
      </w:pPr>
      <w:r>
        <w:t xml:space="preserve">From the student Dev Spaces, run a 10-concurrency load: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30</w:t>
      </w:r>
    </w:p>
    <w:p>
      <w:pPr>
        <w:numPr>
          <w:ilvl w:val="0"/>
          <w:numId w:val="1000"/>
        </w:numPr>
      </w:pPr>
      <w:r>
        <w:t xml:space="preserve">Record the terrible p95 (often 5–15× single-request latency because every request is serialized).</w:t>
      </w:r>
    </w:p>
    <w:bookmarkEnd w:id="11"/>
    <w:bookmarkStart w:id="12" w:name="X9428c0002997f53a1c1da4debbafa72db93aa67"/>
    <w:p>
      <w:pPr>
        <w:pStyle w:val="Heading3"/>
      </w:pPr>
      <w:r>
        <w:t xml:space="preserve">Phase 2 — Enable Dynamic Batching Live (The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Moment)</w:t>
      </w:r>
    </w:p>
    <w:p>
      <w:pPr>
        <w:pStyle w:val="FirstParagraph"/>
      </w:pPr>
      <w:r>
        <w:rPr>
          <w:b/>
          <w:bCs/>
        </w:rPr>
        <w:t xml:space="preserve">Option A — Edit the model config.pbtxt (recommended for teaching)</w:t>
      </w:r>
    </w:p>
    <w:p>
      <w:pPr>
        <w:numPr>
          <w:ilvl w:val="0"/>
          <w:numId w:val="1003"/>
        </w:numPr>
      </w:pPr>
      <w:r>
        <w:t xml:space="preserve">Edit the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in the model repository (usually via the S3 bucket or a ConfigMap / PVC editor).</w:t>
      </w:r>
    </w:p>
    <w:p>
      <w:pPr>
        <w:numPr>
          <w:ilvl w:val="0"/>
          <w:numId w:val="1003"/>
        </w:numPr>
      </w:pPr>
      <w:r>
        <w:t xml:space="preserve">Change 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max_batch_size: 8</w:t>
      </w:r>
      <w:r>
        <w:br/>
      </w:r>
      <w:r>
        <w:rPr>
          <w:rStyle w:val="VerbatimChar"/>
        </w:rPr>
        <w:t xml:space="preserve">dynamic_batching {</w:t>
      </w:r>
      <w:r>
        <w:br/>
      </w:r>
      <w:r>
        <w:rPr>
          <w:rStyle w:val="VerbatimChar"/>
        </w:rPr>
        <w:t xml:space="preserve">  preferred_batch_size: [ 4, 8 ]</w:t>
      </w:r>
      <w:r>
        <w:br/>
      </w:r>
      <w:r>
        <w:rPr>
          <w:rStyle w:val="VerbatimChar"/>
        </w:rPr>
        <w:t xml:space="preserve">  max_queue_delay_microseconds: 5000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</w:pPr>
      <w:r>
        <w:t xml:space="preserve">Tell KServe / the runtime to reload the model (for Triton explicit mode this is often a management API call or a simple pod restart / re-deploy of the InferenceService).</w:t>
      </w:r>
    </w:p>
    <w:p>
      <w:pPr>
        <w:pStyle w:val="FirstParagraph"/>
      </w:pPr>
      <w:r>
        <w:rPr>
          <w:b/>
          <w:bCs/>
        </w:rPr>
        <w:t xml:space="preserve">Option B — Use two different ServingRuntimes</w:t>
      </w:r>
    </w:p>
    <w:p>
      <w:pPr>
        <w:pStyle w:val="BodyText"/>
      </w:pPr>
      <w:r>
        <w:t xml:space="preserve">Pre-create: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triton-batch-1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triton-batch-8</w:t>
      </w:r>
      <w:r>
        <w:t xml:space="preserve"> </w:t>
      </w:r>
      <w:r>
        <w:t xml:space="preserve">(with the dynamic batching args passed via</w:t>
      </w:r>
      <w:r>
        <w:t xml:space="preserve"> </w:t>
      </w:r>
      <w:r>
        <w:rPr>
          <w:rStyle w:val="VerbatimChar"/>
        </w:rPr>
        <w:t xml:space="preserve">--backend-config</w:t>
      </w:r>
      <w:r>
        <w:t xml:space="preserve"> </w:t>
      </w:r>
      <w:r>
        <w:t xml:space="preserve">or environment)</w:t>
      </w:r>
    </w:p>
    <w:p>
      <w:pPr>
        <w:pStyle w:val="BodyText"/>
      </w:pPr>
      <w:r>
        <w:t xml:space="preserve">Switch the InferenceService to the new runtime and redeploy.</w:t>
      </w:r>
    </w:p>
    <w:p>
      <w:pPr>
        <w:numPr>
          <w:ilvl w:val="0"/>
          <w:numId w:val="1004"/>
        </w:numPr>
      </w:pPr>
      <w:r>
        <w:t xml:space="preserve">While the model is redeploying, have students watch the pod events: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</w:p>
    <w:p>
      <w:pPr>
        <w:numPr>
          <w:ilvl w:val="0"/>
          <w:numId w:val="1004"/>
        </w:numPr>
      </w:pPr>
      <w:r>
        <w:t xml:space="preserve">Once the new pods are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re-run the exact same load test from the Dev Spaces.</w:t>
      </w:r>
    </w:p>
    <w:p>
      <w:pPr>
        <w:pStyle w:val="FirstParagraph"/>
      </w:pPr>
      <w:r>
        <w:rPr>
          <w:b/>
          <w:bCs/>
        </w:rPr>
        <w:t xml:space="preserve">Watch the numbers:</w:t>
      </w:r>
    </w:p>
    <w:p>
      <w:pPr>
        <w:pStyle w:val="Compact"/>
        <w:numPr>
          <w:ilvl w:val="0"/>
          <w:numId w:val="1005"/>
        </w:numPr>
      </w:pPr>
      <w:r>
        <w:t xml:space="preserve">Average latency often</w:t>
      </w:r>
      <w:r>
        <w:t xml:space="preserve"> </w:t>
      </w:r>
      <w:r>
        <w:rPr>
          <w:i/>
          <w:iCs/>
        </w:rPr>
        <w:t xml:space="preserve">drops</w:t>
      </w:r>
      <w:r>
        <w:t xml:space="preserve"> </w:t>
      </w:r>
      <w:r>
        <w:t xml:space="preserve">even though more work is happening</w:t>
      </w:r>
    </w:p>
    <w:p>
      <w:pPr>
        <w:pStyle w:val="Compact"/>
        <w:numPr>
          <w:ilvl w:val="0"/>
          <w:numId w:val="1005"/>
        </w:numPr>
      </w:pPr>
      <w:r>
        <w:t xml:space="preserve">p95 drops dramatically (2–8× improvement is common)</w:t>
      </w:r>
    </w:p>
    <w:p>
      <w:pPr>
        <w:pStyle w:val="Compact"/>
        <w:numPr>
          <w:ilvl w:val="0"/>
          <w:numId w:val="1005"/>
        </w:numPr>
      </w:pPr>
      <w:r>
        <w:t xml:space="preserve">Effective RPS goes</w:t>
      </w:r>
      <w:r>
        <w:t xml:space="preserve"> </w:t>
      </w:r>
      <w:r>
        <w:rPr>
          <w:i/>
          <w:iCs/>
        </w:rPr>
        <w:t xml:space="preserve">up</w:t>
      </w:r>
    </w:p>
    <w:p>
      <w:pPr>
        <w:pStyle w:val="FirstParagraph"/>
      </w:pPr>
      <w:r>
        <w:t xml:space="preserve">This is the moment students understand why</w:t>
      </w:r>
      <w:r>
        <w:t xml:space="preserve"> </w:t>
      </w:r>
      <w:r>
        <w:t xml:space="preserve">“bigger batch = better”</w:t>
      </w:r>
      <w:r>
        <w:t xml:space="preserve"> </w:t>
      </w:r>
      <w:r>
        <w:t xml:space="preserve">for throughput (but you must tune queue delay so tail latency doesn’t suffer).</w:t>
      </w:r>
    </w:p>
    <w:bookmarkEnd w:id="12"/>
    <w:bookmarkStart w:id="13" w:name="Xb5445f1f0efc057be03a897d1aa7e35d814c237"/>
    <w:p>
      <w:pPr>
        <w:pStyle w:val="Heading3"/>
      </w:pPr>
      <w:r>
        <w:t xml:space="preserve">Phase 3 — Response Caching (The</w:t>
      </w:r>
      <w:r>
        <w:t xml:space="preserve"> </w:t>
      </w:r>
      <w:r>
        <w:t xml:space="preserve">“Magic”</w:t>
      </w:r>
      <w:r>
        <w:t xml:space="preserve"> </w:t>
      </w:r>
      <w:r>
        <w:t xml:space="preserve">10 ms Second Request)</w:t>
      </w:r>
    </w:p>
    <w:p>
      <w:pPr>
        <w:numPr>
          <w:ilvl w:val="0"/>
          <w:numId w:val="1006"/>
        </w:numPr>
      </w:pPr>
      <w:r>
        <w:t xml:space="preserve">Enable the response cache in the same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response_cache {</w:t>
      </w:r>
      <w:r>
        <w:br/>
      </w:r>
      <w:r>
        <w:rPr>
          <w:rStyle w:val="VerbatimChar"/>
        </w:rPr>
        <w:t xml:space="preserve">  enable: true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6"/>
        </w:numPr>
      </w:pPr>
      <w:r>
        <w:t xml:space="preserve">Redeploy / reload.</w:t>
      </w:r>
    </w:p>
    <w:p>
      <w:pPr>
        <w:numPr>
          <w:ilvl w:val="0"/>
          <w:numId w:val="1006"/>
        </w:numPr>
      </w:pPr>
      <w:r>
        <w:t xml:space="preserve">Have a student run the</w:t>
      </w:r>
      <w:r>
        <w:t xml:space="preserve"> </w:t>
      </w:r>
      <w:r>
        <w:rPr>
          <w:b/>
          <w:bCs/>
        </w:rPr>
        <w:t xml:space="preserve">identical prompt</w:t>
      </w:r>
      <w:r>
        <w:t xml:space="preserve"> </w:t>
      </w:r>
      <w:r>
        <w:t xml:space="preserve">twice in a row from their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$MODEL_ROUTE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numPr>
          <w:ilvl w:val="0"/>
          <w:numId w:val="1006"/>
        </w:numPr>
      </w:pPr>
      <w:r>
        <w:t xml:space="preserve">On the second run, latency should collapse (often &lt; 10–30 ms) because Triton returned the cached response without touching the model at all.</w:t>
      </w:r>
    </w:p>
    <w:p>
      <w:pPr>
        <w:pStyle w:val="FirstParagraph"/>
      </w:pPr>
      <w:r>
        <w:t xml:space="preserve">Show the log timestamps — the second request often never even reaches the inference engine.</w:t>
      </w:r>
    </w:p>
    <w:p>
      <w:pPr>
        <w:pStyle w:val="BodyText"/>
      </w:pPr>
      <w:r>
        <w:rPr>
          <w:b/>
          <w:bCs/>
        </w:rPr>
        <w:t xml:space="preserve">Discussion point:</w:t>
      </w:r>
      <w:r>
        <w:t xml:space="preserve"> </w:t>
      </w:r>
      <w:r>
        <w:t xml:space="preserve">“This is why RAG systems and chatbots feel so fast on the second turn of a conversation — the runtime is doing the heavy lifting for you.”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tudent-exercise-15-min"/>
    <w:p>
      <w:pPr>
        <w:pStyle w:val="Heading2"/>
      </w:pPr>
      <w:r>
        <w:t xml:space="preserve">Student Exercise (15 min)</w:t>
      </w:r>
    </w:p>
    <w:p>
      <w:pPr>
        <w:pStyle w:val="FirstParagraph"/>
      </w:pPr>
      <w:r>
        <w:t xml:space="preserve">Give the class 10 minutes to experiment:</w:t>
      </w:r>
    </w:p>
    <w:p>
      <w:pPr>
        <w:pStyle w:val="Compact"/>
        <w:numPr>
          <w:ilvl w:val="0"/>
          <w:numId w:val="1007"/>
        </w:numPr>
      </w:pPr>
      <w:r>
        <w:t xml:space="preserve">Change concurrency from 5 → 20 → 50</w:t>
      </w:r>
    </w:p>
    <w:p>
      <w:pPr>
        <w:pStyle w:val="Compact"/>
        <w:numPr>
          <w:ilvl w:val="0"/>
          <w:numId w:val="1007"/>
        </w:numPr>
      </w:pPr>
      <w:r>
        <w:t xml:space="preserve">Try the same prompt 5 times in a row (watch cache hit)</w:t>
      </w:r>
    </w:p>
    <w:p>
      <w:pPr>
        <w:pStyle w:val="Compact"/>
        <w:numPr>
          <w:ilvl w:val="0"/>
          <w:numId w:val="1007"/>
        </w:numPr>
      </w:pPr>
      <w:r>
        <w:t xml:space="preserve">Try 5 different prompts (watch cache miss)</w:t>
      </w:r>
    </w:p>
    <w:p>
      <w:pPr>
        <w:pStyle w:val="Compact"/>
        <w:numPr>
          <w:ilvl w:val="0"/>
          <w:numId w:val="1007"/>
        </w:numPr>
      </w:pPr>
      <w:r>
        <w:t xml:space="preserve">Record the best p95 they can achieve</w:t>
      </w:r>
    </w:p>
    <w:p>
      <w:pPr>
        <w:pStyle w:val="FirstParagraph"/>
      </w:pPr>
      <w:r>
        <w:t xml:space="preserve">Then have 2–3 students report their best numbers and the exact config that produced them.</w:t>
      </w:r>
    </w:p>
    <w:p>
      <w:r>
        <w:pict>
          <v:rect style="width:0;height:1.5pt" o:hralign="center" o:hrstd="t" o:hr="t"/>
        </w:pict>
      </w:r>
    </w:p>
    <w:bookmarkEnd w:id="15"/>
    <w:bookmarkStart w:id="16" w:name="lightweight-cpu-path"/>
    <w:p>
      <w:pPr>
        <w:pStyle w:val="Heading2"/>
      </w:pPr>
      <w:r>
        <w:t xml:space="preserve">Lightweight / CPU Path</w:t>
      </w:r>
    </w:p>
    <w:p>
      <w:pPr>
        <w:pStyle w:val="FirstParagraph"/>
      </w:pPr>
      <w:r>
        <w:t xml:space="preserve">On CPU-only:</w:t>
      </w:r>
    </w:p>
    <w:p>
      <w:pPr>
        <w:pStyle w:val="Compact"/>
        <w:numPr>
          <w:ilvl w:val="0"/>
          <w:numId w:val="1008"/>
        </w:numPr>
      </w:pPr>
      <w:r>
        <w:t xml:space="preserve">Use a deliberately tiny model (or even a Python backend that sleeps 200 ms to simulate</w:t>
      </w:r>
      <w:r>
        <w:t xml:space="preserve"> </w:t>
      </w:r>
      <w:r>
        <w:t xml:space="preserve">“thinking”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The relative improvement from</w:t>
      </w:r>
      <w:r>
        <w:t xml:space="preserve"> </w:t>
      </w:r>
      <w:r>
        <w:rPr>
          <w:rStyle w:val="VerbatimChar"/>
        </w:rPr>
        <w:t xml:space="preserve">max_batch_size:1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is still dramatic (and easier to see because absolute numbers are larger)</w:t>
      </w:r>
    </w:p>
    <w:p>
      <w:pPr>
        <w:pStyle w:val="Compact"/>
        <w:numPr>
          <w:ilvl w:val="0"/>
          <w:numId w:val="1008"/>
        </w:numPr>
      </w:pPr>
      <w:r>
        <w:t xml:space="preserve">Response cache still gives the</w:t>
      </w:r>
      <w:r>
        <w:t xml:space="preserve"> </w:t>
      </w:r>
      <w:r>
        <w:t xml:space="preserve">“instant second answer”</w:t>
      </w:r>
      <w:r>
        <w:t xml:space="preserve"> </w:t>
      </w:r>
      <w:r>
        <w:t xml:space="preserve">effect</w:t>
      </w:r>
    </w:p>
    <w:p>
      <w:pPr>
        <w:pStyle w:val="FirstParagraph"/>
      </w:pPr>
      <w:r>
        <w:t xml:space="preserve">This is actually one of the best modules to run on limited hardware — the teaching signal is very strong.</w:t>
      </w:r>
    </w:p>
    <w:p>
      <w:r>
        <w:pict>
          <v:rect style="width:0;height:1.5pt" o:hralign="center" o:hrstd="t" o:hr="t"/>
        </w:pict>
      </w:r>
    </w:p>
    <w:bookmarkEnd w:id="16"/>
    <w:bookmarkStart w:id="17" w:name="artifacts-students-take-away"/>
    <w:p>
      <w:pPr>
        <w:pStyle w:val="Heading2"/>
      </w:pPr>
      <w:r>
        <w:t xml:space="preserve">Artifacts Students Take Away</w:t>
      </w:r>
    </w:p>
    <w:p>
      <w:pPr>
        <w:pStyle w:val="Compact"/>
        <w:numPr>
          <w:ilvl w:val="0"/>
          <w:numId w:val="1009"/>
        </w:numPr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 </w:t>
      </w:r>
      <w:r>
        <w:t xml:space="preserve">snippet that worked</w:t>
      </w:r>
    </w:p>
    <w:p>
      <w:pPr>
        <w:pStyle w:val="Compact"/>
        <w:numPr>
          <w:ilvl w:val="0"/>
          <w:numId w:val="1009"/>
        </w:numPr>
      </w:pPr>
      <w:r>
        <w:t xml:space="preserve">Their own measured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numbers</w:t>
      </w:r>
    </w:p>
    <w:p>
      <w:pPr>
        <w:pStyle w:val="Compact"/>
        <w:numPr>
          <w:ilvl w:val="0"/>
          <w:numId w:val="1009"/>
        </w:numPr>
      </w:pPr>
      <w:r>
        <w:t xml:space="preserve">Understanding that</w:t>
      </w:r>
      <w:r>
        <w:t xml:space="preserve"> </w:t>
      </w:r>
      <w:r>
        <w:rPr>
          <w:b/>
          <w:bCs/>
        </w:rPr>
        <w:t xml:space="preserve">most production gains come from configuration, not bigger GPUs</w:t>
      </w:r>
    </w:p>
    <w:p>
      <w:pPr>
        <w:pStyle w:val="FirstParagraph"/>
      </w:pPr>
      <w:r>
        <w:rPr>
          <w:b/>
          <w:bCs/>
        </w:rPr>
        <w:t xml:space="preserve">End of the core technical heart of the workshop.</w:t>
      </w:r>
      <w:r>
        <w:t xml:space="preserve"> </w:t>
      </w:r>
      <w:r>
        <w:t xml:space="preserve">Everything after this builds on this mental model.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2026-05-21T14:14:02Z</dcterms:created>
  <dcterms:modified xsi:type="dcterms:W3CDTF">2026-05-21T14:14:02Z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