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2b7f8e50ca3e3b66312f76d1c561b00ade54ab8"/>
    <w:p>
      <w:pPr>
        <w:pStyle w:val="Heading1"/>
      </w:pPr>
      <w:r>
        <w:t xml:space="preserve">Module 06 — Fault Tolerance and Disaster Recovery (Instructor Guide)</w:t>
      </w:r>
    </w:p>
    <w:p>
      <w:pPr>
        <w:pStyle w:val="FirstParagraph"/>
      </w:pPr>
      <w:r>
        <w:rPr>
          <w:b/>
          <w:bCs/>
        </w:rPr>
        <w:t xml:space="preserve">Duration:</w:t>
      </w:r>
      <w:r>
        <w:t xml:space="preserve"> </w:t>
      </w:r>
      <w:r>
        <w:t xml:space="preserve">40 min</w:t>
      </w:r>
    </w:p>
    <w:bookmarkStart w:id="9" w:name="Xd489ee9f4ad4f42fecf68b79153e951d09a827f"/>
    <w:p>
      <w:pPr>
        <w:pStyle w:val="Heading2"/>
      </w:pPr>
      <w:r>
        <w:t xml:space="preserve">The</w:t>
      </w:r>
      <w:r>
        <w:t xml:space="preserve"> </w:t>
      </w:r>
      <w:r>
        <w:t xml:space="preserve">“Kill the Pod”</w:t>
      </w:r>
      <w:r>
        <w:t xml:space="preserve"> </w:t>
      </w:r>
      <w:r>
        <w:t xml:space="preserve">Live Demo (Most Memorable)</w:t>
      </w:r>
    </w:p>
    <w:p>
      <w:pPr>
        <w:numPr>
          <w:ilvl w:val="0"/>
          <w:numId w:val="1001"/>
        </w:numPr>
      </w:pPr>
      <w:r>
        <w:t xml:space="preserve">Start a continuous low-rate load from several student Dev Spaces:</w:t>
      </w:r>
    </w:p>
    <w:p>
      <w:pPr>
        <w:pStyle w:val="SourceCode"/>
        <w:numPr>
          <w:ilvl w:val="0"/>
          <w:numId w:val="1000"/>
        </w:numPr>
      </w:pP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common/client/triton_infer.py </w:t>
      </w:r>
      <w:r>
        <w:rPr>
          <w:rStyle w:val="AttributeTok"/>
        </w:rPr>
        <w:t xml:space="preserve">--url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$MODEL_ROUTE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$MODEL_NAME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--prompt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"ping"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</w:p>
    <w:p>
      <w:pPr>
        <w:numPr>
          <w:ilvl w:val="0"/>
          <w:numId w:val="1001"/>
        </w:numPr>
      </w:pPr>
      <w:r>
        <w:t xml:space="preserve">In the OpenShift Console, find the running inference pod and delete it (</w:t>
      </w:r>
      <w:r>
        <w:rPr>
          <w:rStyle w:val="VerbatimChar"/>
        </w:rPr>
        <w:t xml:space="preserve">oc delete pod ...</w:t>
      </w:r>
      <w:r>
        <w:t xml:space="preserve"> </w:t>
      </w:r>
      <w:r>
        <w:t xml:space="preserve">or click the trash can in the dashboard).</w:t>
      </w:r>
    </w:p>
    <w:p>
      <w:pPr>
        <w:numPr>
          <w:ilvl w:val="0"/>
          <w:numId w:val="1001"/>
        </w:numPr>
      </w:pPr>
      <w:r>
        <w:t xml:space="preserve">Watch:</w:t>
      </w:r>
    </w:p>
    <w:p>
      <w:pPr>
        <w:pStyle w:val="Compact"/>
        <w:numPr>
          <w:ilvl w:val="1"/>
          <w:numId w:val="1002"/>
        </w:numPr>
      </w:pPr>
      <w:r>
        <w:t xml:space="preserve">The load script shows only a brief spike or one or two errors (KServe / the Deployment controller immediately brings a new pod up)</w:t>
      </w:r>
    </w:p>
    <w:p>
      <w:pPr>
        <w:pStyle w:val="Compact"/>
        <w:numPr>
          <w:ilvl w:val="1"/>
          <w:numId w:val="1002"/>
        </w:numPr>
      </w:pPr>
      <w:r>
        <w:t xml:space="preserve">The Route never went away — clients never had to change anything</w:t>
      </w:r>
    </w:p>
    <w:p>
      <w:pPr>
        <w:pStyle w:val="Compact"/>
        <w:numPr>
          <w:ilvl w:val="1"/>
          <w:numId w:val="1002"/>
        </w:numPr>
      </w:pPr>
      <w:r>
        <w:t xml:space="preserve">New pod appears with the same model loaded</w:t>
      </w:r>
    </w:p>
    <w:p>
      <w:pPr>
        <w:pStyle w:val="FirstParagraph"/>
      </w:pPr>
      <w:r>
        <w:rPr>
          <w:b/>
          <w:bCs/>
        </w:rPr>
        <w:t xml:space="preserve">This is the moment people really trust the platform.</w:t>
      </w:r>
    </w:p>
    <w:bookmarkEnd w:id="9"/>
    <w:bookmarkStart w:id="10" w:name="Xa7aa814cc0c25287a471d69a2cd8e8f8c00b375"/>
    <w:p>
      <w:pPr>
        <w:pStyle w:val="Heading2"/>
      </w:pPr>
      <w:r>
        <w:t xml:space="preserve">Autoscaling (if you have metrics-based HPA or KEDA configured)</w:t>
      </w:r>
    </w:p>
    <w:p>
      <w:pPr>
        <w:pStyle w:val="FirstParagraph"/>
      </w:pPr>
      <w:r>
        <w:t xml:space="preserve">Trigger a sudden 5× load spike from the Dev Spaces. Show the replica count climb in the RHOAI dashboard.</w:t>
      </w:r>
    </w:p>
    <w:bookmarkEnd w:id="10"/>
    <w:bookmarkStart w:id="11" w:name="data-connection-dr-portability"/>
    <w:p>
      <w:pPr>
        <w:pStyle w:val="Heading2"/>
      </w:pPr>
      <w:r>
        <w:t xml:space="preserve">Data Connection / DR Portability</w:t>
      </w:r>
    </w:p>
    <w:p>
      <w:pPr>
        <w:pStyle w:val="Compact"/>
        <w:numPr>
          <w:ilvl w:val="0"/>
          <w:numId w:val="1003"/>
        </w:numPr>
      </w:pPr>
      <w:r>
        <w:t xml:space="preserve">Have a second S3 bucket (or MinIO) with the same model weights.</w:t>
      </w:r>
    </w:p>
    <w:p>
      <w:pPr>
        <w:pStyle w:val="Compact"/>
        <w:numPr>
          <w:ilvl w:val="0"/>
          <w:numId w:val="1003"/>
        </w:numPr>
      </w:pPr>
      <w:r>
        <w:t xml:space="preserve">Edit the InferenceService / data connection to point at the backup bucket.</w:t>
      </w:r>
    </w:p>
    <w:p>
      <w:pPr>
        <w:pStyle w:val="Compact"/>
        <w:numPr>
          <w:ilvl w:val="0"/>
          <w:numId w:val="1003"/>
        </w:numPr>
      </w:pPr>
      <w:r>
        <w:t xml:space="preserve">Redeploy — same container image, different weights pulled at start time.</w:t>
      </w:r>
    </w:p>
    <w:p>
      <w:pPr>
        <w:pStyle w:val="Compact"/>
        <w:numPr>
          <w:ilvl w:val="0"/>
          <w:numId w:val="1003"/>
        </w:numPr>
      </w:pPr>
      <w:r>
        <w:t xml:space="preserve">Prove that</w:t>
      </w:r>
      <w:r>
        <w:t xml:space="preserve"> </w:t>
      </w:r>
      <w:r>
        <w:t xml:space="preserve">“disaster recovery”</w:t>
      </w:r>
      <w:r>
        <w:t xml:space="preserve"> </w:t>
      </w:r>
      <w:r>
        <w:t xml:space="preserve">for the model itself is just</w:t>
      </w:r>
      <w:r>
        <w:t xml:space="preserve"> </w:t>
      </w:r>
      <w:r>
        <w:t xml:space="preserve">“change the pointer and redeploy”</w:t>
      </w:r>
      <w:r>
        <w:t xml:space="preserve">.</w:t>
      </w:r>
    </w:p>
    <w:p>
      <w:pPr>
        <w:pStyle w:val="FirstParagraph"/>
      </w:pPr>
      <w:r>
        <w:t xml:space="preserve">No container rebuilds. No golden images. Just infrastructure as code + object storage.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2026-05-21T14:14:02Z</dcterms:created>
  <dcterms:modified xsi:type="dcterms:W3CDTF">2026-05-21T14:14:02Z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