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77e615e109a0ed3def7172c3d4f4a193329e9de"/>
    <w:p>
      <w:pPr>
        <w:pStyle w:val="Heading1"/>
      </w:pPr>
      <w:r>
        <w:t xml:space="preserve">Module 08 — Cisco-NVIDIA Integration with Scalable Inference (Instructor Guide)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50–60 min (capstone)</w:t>
      </w:r>
    </w:p>
    <w:bookmarkStart w:id="9" w:name="if-you-have-ngc-enterprise-nim-access"/>
    <w:p>
      <w:pPr>
        <w:pStyle w:val="Heading2"/>
      </w:pPr>
      <w:r>
        <w:t xml:space="preserve">If You Have NGC / Enterprise NIM Access</w:t>
      </w:r>
    </w:p>
    <w:p>
      <w:pPr>
        <w:pStyle w:val="Compact"/>
        <w:numPr>
          <w:ilvl w:val="0"/>
          <w:numId w:val="1001"/>
        </w:numPr>
      </w:pPr>
      <w:r>
        <w:t xml:space="preserve">Enable the</w:t>
      </w:r>
      <w:r>
        <w:t xml:space="preserve"> </w:t>
      </w:r>
      <w:r>
        <w:rPr>
          <w:b/>
          <w:bCs/>
        </w:rPr>
        <w:t xml:space="preserve">NVIDIA NIM</w:t>
      </w:r>
      <w:r>
        <w:t xml:space="preserve"> </w:t>
      </w:r>
      <w:r>
        <w:t xml:space="preserve">tile in Applications → Explore (paste NGC key).</w:t>
      </w:r>
    </w:p>
    <w:p>
      <w:pPr>
        <w:pStyle w:val="Compact"/>
        <w:numPr>
          <w:ilvl w:val="0"/>
          <w:numId w:val="1001"/>
        </w:numPr>
      </w:pPr>
      <w:r>
        <w:t xml:space="preserve">Deploy a real optimized model (Llama 3.1 8B or Nemotron) via the NIM workflow.</w:t>
      </w:r>
    </w:p>
    <w:p>
      <w:pPr>
        <w:pStyle w:val="Compact"/>
        <w:numPr>
          <w:ilvl w:val="0"/>
          <w:numId w:val="1001"/>
        </w:numPr>
      </w:pPr>
      <w:r>
        <w:t xml:space="preserve">Run the exact same</w:t>
      </w:r>
      <w:r>
        <w:t xml:space="preserve"> </w:t>
      </w:r>
      <w:r>
        <w:rPr>
          <w:rStyle w:val="VerbatimChar"/>
        </w:rPr>
        <w:t xml:space="preserve">concurrent_load.py</w:t>
      </w:r>
      <w:r>
        <w:t xml:space="preserve"> </w:t>
      </w:r>
      <w:r>
        <w:t xml:space="preserve">script from student workspaces against:</w:t>
      </w:r>
    </w:p>
    <w:p>
      <w:pPr>
        <w:pStyle w:val="Compact"/>
        <w:numPr>
          <w:ilvl w:val="1"/>
          <w:numId w:val="1002"/>
        </w:numPr>
      </w:pPr>
      <w:r>
        <w:t xml:space="preserve">The generic Triton deployment from earlier in the day</w:t>
      </w:r>
    </w:p>
    <w:p>
      <w:pPr>
        <w:pStyle w:val="Compact"/>
        <w:numPr>
          <w:ilvl w:val="1"/>
          <w:numId w:val="1002"/>
        </w:numPr>
      </w:pPr>
      <w:r>
        <w:t xml:space="preserve">The new NIM deployment</w:t>
      </w:r>
    </w:p>
    <w:p>
      <w:pPr>
        <w:pStyle w:val="Compact"/>
        <w:numPr>
          <w:ilvl w:val="0"/>
          <w:numId w:val="1001"/>
        </w:numPr>
      </w:pPr>
      <w:r>
        <w:t xml:space="preserve">Side-by-side comparison in OpenShift metrics:</w:t>
      </w:r>
    </w:p>
    <w:p>
      <w:pPr>
        <w:pStyle w:val="Compact"/>
        <w:numPr>
          <w:ilvl w:val="1"/>
          <w:numId w:val="1003"/>
        </w:numPr>
      </w:pPr>
      <w:r>
        <w:t xml:space="preserve">Significantly higher throughput (often 2–4×)</w:t>
      </w:r>
    </w:p>
    <w:p>
      <w:pPr>
        <w:pStyle w:val="Compact"/>
        <w:numPr>
          <w:ilvl w:val="1"/>
          <w:numId w:val="1003"/>
        </w:numPr>
      </w:pPr>
      <w:r>
        <w:t xml:space="preserve">Much better latency tail</w:t>
      </w:r>
    </w:p>
    <w:p>
      <w:pPr>
        <w:pStyle w:val="Compact"/>
        <w:numPr>
          <w:ilvl w:val="1"/>
          <w:numId w:val="1003"/>
        </w:numPr>
      </w:pPr>
      <w:r>
        <w:t xml:space="preserve">Lower GPU memory for the same concurrency (thanks to TensorRT-LLM kernels + optimized microservice)</w:t>
      </w:r>
    </w:p>
    <w:bookmarkEnd w:id="9"/>
    <w:bookmarkStart w:id="10" w:name="Xe602b260e5f58b5de2c4ff0c1e497aa58320e33"/>
    <w:p>
      <w:pPr>
        <w:pStyle w:val="Heading2"/>
      </w:pPr>
      <w:r>
        <w:t xml:space="preserve">If You Do NOT Have NGC Access (Most Common Classroom Situation)</w:t>
      </w:r>
    </w:p>
    <w:p>
      <w:pPr>
        <w:pStyle w:val="FirstParagraph"/>
      </w:pPr>
      <w:r>
        <w:t xml:space="preserve">Run the comparison using two different Triton configurations:</w:t>
      </w:r>
      <w:r>
        <w:t xml:space="preserve"> </w:t>
      </w:r>
      <w:r>
        <w:t xml:space="preserve">- One with conservative batching / no cache</w:t>
      </w:r>
      <w:r>
        <w:t xml:space="preserve"> </w:t>
      </w:r>
      <w:r>
        <w:t xml:space="preserve">- One with aggressive dynamic batching + response cache + best-practice model config</w:t>
      </w:r>
    </w:p>
    <w:p>
      <w:pPr>
        <w:pStyle w:val="BodyText"/>
      </w:pPr>
      <w:r>
        <w:t xml:space="preserve">Or deploy both a Triton runtime and the built-in vLLM / TGIS runtime (Red Hat ships these) and show students the different performance characteristics and ease-of-use tradeoffs.</w:t>
      </w:r>
    </w:p>
    <w:bookmarkEnd w:id="10"/>
    <w:bookmarkStart w:id="11" w:name="closing-topology-view"/>
    <w:p>
      <w:pPr>
        <w:pStyle w:val="Heading2"/>
      </w:pPr>
      <w:r>
        <w:t xml:space="preserve">Closing Topology View</w:t>
      </w:r>
    </w:p>
    <w:p>
      <w:pPr>
        <w:pStyle w:val="FirstParagraph"/>
      </w:pPr>
      <w:r>
        <w:t xml:space="preserve">End the day with the full picture in the OpenShift AI dashboard:</w:t>
      </w:r>
    </w:p>
    <w:p>
      <w:pPr>
        <w:pStyle w:val="Compact"/>
        <w:numPr>
          <w:ilvl w:val="0"/>
          <w:numId w:val="1004"/>
        </w:numPr>
      </w:pPr>
      <w:r>
        <w:t xml:space="preserve">Dev Spaces workspaces (student coding / testing environment)</w:t>
      </w:r>
    </w:p>
    <w:p>
      <w:pPr>
        <w:pStyle w:val="Compact"/>
        <w:numPr>
          <w:ilvl w:val="0"/>
          <w:numId w:val="1004"/>
        </w:numPr>
      </w:pPr>
      <w:r>
        <w:t xml:space="preserve">Model server (NIM or Triton)</w:t>
      </w:r>
    </w:p>
    <w:p>
      <w:pPr>
        <w:pStyle w:val="Compact"/>
        <w:numPr>
          <w:ilvl w:val="0"/>
          <w:numId w:val="1004"/>
        </w:numPr>
      </w:pPr>
      <w:r>
        <w:t xml:space="preserve">Hardware Profiles + GPU nodes</w:t>
      </w:r>
    </w:p>
    <w:p>
      <w:pPr>
        <w:pStyle w:val="Compact"/>
        <w:numPr>
          <w:ilvl w:val="0"/>
          <w:numId w:val="1004"/>
        </w:numPr>
      </w:pPr>
      <w:r>
        <w:t xml:space="preserve">OpenShift monitoring + DCGM</w:t>
      </w:r>
    </w:p>
    <w:p>
      <w:pPr>
        <w:pStyle w:val="Compact"/>
        <w:numPr>
          <w:ilvl w:val="0"/>
          <w:numId w:val="1004"/>
        </w:numPr>
      </w:pPr>
      <w:r>
        <w:t xml:space="preserve">(Whiteboard) Cisco Nexus fabric underneath it all</w:t>
      </w:r>
    </w:p>
    <w:p>
      <w:pPr>
        <w:pStyle w:val="FirstParagraph"/>
      </w:pPr>
      <w:r>
        <w:rPr>
          <w:b/>
          <w:bCs/>
        </w:rPr>
        <w:t xml:space="preserve">“You now understand the entire vertical, from a Python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openai</w:t>
      </w:r>
      <w:r>
        <w:rPr>
          <w:b/>
          <w:bCs/>
        </w:rPr>
        <w:t xml:space="preserve"> </w:t>
      </w:r>
      <w:r>
        <w:rPr>
          <w:b/>
          <w:bCs/>
        </w:rPr>
        <w:t xml:space="preserve">call in a browser-based IDE to the photons moving across a Nexus switch.”</w:t>
      </w:r>
    </w:p>
    <w:p>
      <w:pPr>
        <w:pStyle w:val="BodyText"/>
      </w:pPr>
      <w:r>
        <w:t xml:space="preserve">This is the exact stack Red Hat + NVIDIA + Cisco are selling to enterprise customers for private AI factories.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2026-05-21T14:14:03Z</dcterms:created>
  <dcterms:modified xsi:type="dcterms:W3CDTF">2026-05-21T14:14:03Z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