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D112" w14:textId="77777777" w:rsidR="004F7BD6" w:rsidRDefault="004F7BD6" w:rsidP="004F7BD6">
      <w:pPr>
        <w:rPr>
          <w:sz w:val="52"/>
          <w:szCs w:val="52"/>
          <w:lang w:bidi="fa-IR"/>
        </w:rPr>
      </w:pPr>
    </w:p>
    <w:p w14:paraId="717CCFC5" w14:textId="5826CCB0" w:rsidR="002638D5" w:rsidRPr="004F7BD6" w:rsidRDefault="002B2C05" w:rsidP="004F7BD6">
      <w:pPr>
        <w:jc w:val="center"/>
        <w:rPr>
          <w:sz w:val="52"/>
          <w:szCs w:val="52"/>
          <w:lang w:val="ru-RU" w:bidi="fa-IR"/>
        </w:rPr>
      </w:pPr>
      <w:r w:rsidRPr="004F7BD6">
        <w:rPr>
          <w:sz w:val="52"/>
          <w:szCs w:val="52"/>
          <w:lang w:val="ru-RU" w:bidi="fa-IR"/>
        </w:rPr>
        <w:t>Рефераты по темам:</w:t>
      </w:r>
    </w:p>
    <w:p w14:paraId="34A141F5" w14:textId="7058D140" w:rsidR="002B2C05" w:rsidRPr="004F7BD6" w:rsidRDefault="002B2C05" w:rsidP="004F7BD6">
      <w:pPr>
        <w:rPr>
          <w:sz w:val="40"/>
          <w:szCs w:val="40"/>
          <w:lang w:val="ru-RU" w:bidi="fa-IR"/>
        </w:rPr>
      </w:pPr>
      <w:r w:rsidRPr="004F7BD6">
        <w:rPr>
          <w:sz w:val="40"/>
          <w:szCs w:val="40"/>
          <w:lang w:val="ru-RU" w:bidi="fa-IR"/>
        </w:rPr>
        <w:t>1. Современные подходы к витальной терапии пульпы;</w:t>
      </w:r>
    </w:p>
    <w:p w14:paraId="3BD32361" w14:textId="1A60831B" w:rsidR="002B2C05" w:rsidRPr="004F7BD6" w:rsidRDefault="002B2C05" w:rsidP="004F7BD6">
      <w:pPr>
        <w:rPr>
          <w:sz w:val="40"/>
          <w:szCs w:val="40"/>
          <w:lang w:val="ru-RU" w:bidi="fa-IR"/>
        </w:rPr>
      </w:pPr>
      <w:r w:rsidRPr="004F7BD6">
        <w:rPr>
          <w:sz w:val="40"/>
          <w:szCs w:val="40"/>
          <w:lang w:val="ru-RU" w:bidi="fa-IR"/>
        </w:rPr>
        <w:t>2. Сравнительная оценка эффективности эндодонтической ирригации средствами на основе растворов гипохлорита натрия.</w:t>
      </w:r>
    </w:p>
    <w:p w14:paraId="47131CBA" w14:textId="2E010805" w:rsidR="002B2C05" w:rsidRDefault="002B2C05" w:rsidP="002B2C05">
      <w:pPr>
        <w:rPr>
          <w:lang w:bidi="fa-IR"/>
        </w:rPr>
      </w:pPr>
    </w:p>
    <w:p w14:paraId="43F43AA9" w14:textId="77777777" w:rsidR="004F7BD6" w:rsidRDefault="004F7BD6" w:rsidP="002B2C05">
      <w:pPr>
        <w:rPr>
          <w:lang w:bidi="fa-IR"/>
        </w:rPr>
      </w:pPr>
    </w:p>
    <w:p w14:paraId="08262C04" w14:textId="77777777" w:rsidR="004F7BD6" w:rsidRDefault="004F7BD6" w:rsidP="002B2C05">
      <w:pPr>
        <w:rPr>
          <w:lang w:bidi="fa-IR"/>
        </w:rPr>
      </w:pPr>
    </w:p>
    <w:p w14:paraId="118EF9F9" w14:textId="77777777" w:rsidR="004F7BD6" w:rsidRPr="004F7BD6" w:rsidRDefault="004F7BD6" w:rsidP="002B2C05">
      <w:pPr>
        <w:rPr>
          <w:lang w:bidi="fa-IR"/>
        </w:rPr>
      </w:pPr>
    </w:p>
    <w:p w14:paraId="2D0F46AA" w14:textId="4AAB27A0" w:rsidR="005B39C5" w:rsidRPr="004F7BD6" w:rsidRDefault="005B39C5" w:rsidP="004F7BD6">
      <w:pPr>
        <w:jc w:val="center"/>
        <w:rPr>
          <w:sz w:val="52"/>
          <w:szCs w:val="52"/>
          <w:lang w:val="ru-RU" w:bidi="fa-IR"/>
        </w:rPr>
      </w:pPr>
      <w:r w:rsidRPr="004F7BD6">
        <w:rPr>
          <w:sz w:val="52"/>
          <w:szCs w:val="52"/>
          <w:lang w:val="ru-RU" w:bidi="fa-IR"/>
        </w:rPr>
        <w:t>Научный руководитель:</w:t>
      </w:r>
    </w:p>
    <w:p w14:paraId="02453019" w14:textId="7EE12C9D" w:rsidR="005B39C5" w:rsidRPr="004F7BD6" w:rsidRDefault="005B39C5" w:rsidP="004F7BD6">
      <w:pPr>
        <w:jc w:val="center"/>
        <w:rPr>
          <w:b/>
          <w:bCs/>
          <w:sz w:val="40"/>
          <w:szCs w:val="40"/>
          <w:lang w:val="ru-RU" w:bidi="fa-IR"/>
        </w:rPr>
      </w:pPr>
      <w:r w:rsidRPr="004F7BD6">
        <w:rPr>
          <w:b/>
          <w:bCs/>
          <w:sz w:val="40"/>
          <w:szCs w:val="40"/>
          <w:lang w:val="ru-RU" w:bidi="fa-IR"/>
        </w:rPr>
        <w:t>Луцкая Ирина Константиновна, доктор медицинских наук, профессор.</w:t>
      </w:r>
    </w:p>
    <w:p w14:paraId="149E020C" w14:textId="5E76DB0C" w:rsidR="005B39C5" w:rsidRPr="004F7BD6" w:rsidRDefault="005B39C5" w:rsidP="004F7BD6">
      <w:pPr>
        <w:jc w:val="center"/>
        <w:rPr>
          <w:sz w:val="32"/>
          <w:szCs w:val="32"/>
          <w:lang w:val="ru-RU" w:bidi="fa-IR"/>
        </w:rPr>
      </w:pPr>
      <w:r w:rsidRPr="004F7BD6">
        <w:rPr>
          <w:sz w:val="32"/>
          <w:szCs w:val="32"/>
          <w:lang w:val="ru-RU" w:bidi="fa-IR"/>
        </w:rPr>
        <w:t>Сделано вр. стоматологом Акбари Бехруз Али</w:t>
      </w:r>
    </w:p>
    <w:p w14:paraId="359A899A" w14:textId="77777777" w:rsidR="005B39C5" w:rsidRDefault="005B39C5" w:rsidP="002B2C05">
      <w:pPr>
        <w:rPr>
          <w:lang w:val="ru-RU" w:bidi="fa-IR"/>
        </w:rPr>
      </w:pPr>
    </w:p>
    <w:p w14:paraId="79DCEE96" w14:textId="77777777" w:rsidR="00C221CA" w:rsidRPr="004F7BD6" w:rsidRDefault="00C221CA" w:rsidP="002B2C05">
      <w:pPr>
        <w:rPr>
          <w:lang w:val="ru-RU" w:bidi="fa-IR"/>
        </w:rPr>
      </w:pPr>
    </w:p>
    <w:p w14:paraId="1F0724F4" w14:textId="77777777" w:rsidR="00C221CA" w:rsidRPr="004F7BD6" w:rsidRDefault="00C221CA" w:rsidP="002B2C05">
      <w:pPr>
        <w:rPr>
          <w:lang w:val="ru-RU" w:bidi="fa-IR"/>
        </w:rPr>
      </w:pPr>
    </w:p>
    <w:p w14:paraId="4F20B050" w14:textId="77777777" w:rsidR="00C221CA" w:rsidRPr="004F7BD6" w:rsidRDefault="00C221CA" w:rsidP="002B2C05">
      <w:pPr>
        <w:rPr>
          <w:lang w:val="ru-RU" w:bidi="fa-IR"/>
        </w:rPr>
      </w:pPr>
    </w:p>
    <w:p w14:paraId="76DE7E81" w14:textId="77777777" w:rsidR="004F7BD6" w:rsidRDefault="004F7BD6" w:rsidP="002B2C05">
      <w:pPr>
        <w:rPr>
          <w:lang w:bidi="fa-IR"/>
        </w:rPr>
      </w:pPr>
    </w:p>
    <w:p w14:paraId="4BED7C57" w14:textId="77777777" w:rsidR="004F7BD6" w:rsidRPr="004F7BD6" w:rsidRDefault="004F7BD6" w:rsidP="002B2C05">
      <w:pPr>
        <w:rPr>
          <w:lang w:bidi="fa-IR"/>
        </w:rPr>
      </w:pPr>
    </w:p>
    <w:p w14:paraId="44208937" w14:textId="59704EBE" w:rsidR="004F7BD6" w:rsidRPr="004F7BD6" w:rsidRDefault="004F7BD6" w:rsidP="004F7BD6">
      <w:pPr>
        <w:rPr>
          <w:b/>
          <w:bCs/>
          <w:sz w:val="32"/>
          <w:szCs w:val="32"/>
          <w:lang w:val="ru-RU" w:bidi="fa-IR"/>
        </w:rPr>
      </w:pPr>
      <w:r w:rsidRPr="004F7BD6">
        <w:rPr>
          <w:b/>
          <w:bCs/>
          <w:sz w:val="32"/>
          <w:szCs w:val="32"/>
          <w:lang w:val="ru-RU" w:bidi="fa-IR"/>
        </w:rPr>
        <w:lastRenderedPageBreak/>
        <w:t>1. Современные подходы к витальной терапии пульпы</w:t>
      </w:r>
      <w:r w:rsidRPr="004F7BD6">
        <w:rPr>
          <w:b/>
          <w:bCs/>
          <w:sz w:val="32"/>
          <w:szCs w:val="32"/>
          <w:lang w:val="ru-RU" w:bidi="fa-IR"/>
        </w:rPr>
        <w:t>.</w:t>
      </w:r>
    </w:p>
    <w:p w14:paraId="2492258B" w14:textId="77777777" w:rsidR="00C221CA" w:rsidRPr="00C221CA" w:rsidRDefault="00C221CA" w:rsidP="00C221CA">
      <w:pPr>
        <w:rPr>
          <w:lang w:val="ru-RU" w:bidi="fa-IR"/>
        </w:rPr>
      </w:pPr>
      <w:r w:rsidRPr="00C221CA">
        <w:rPr>
          <w:lang w:val="ru-RU" w:bidi="fa-IR"/>
        </w:rPr>
        <w:t>Современные подходы к витальной терапии пульпы направлены на сохранение жизнеспособности зуба и предупреждение эндодонтического лечения, которое не всегда бывает полностью успешным. Основные методы включают непрямое и прямое покрытие пульпы, частичную и полную пульпотомию, а выбор тактики зависит от точной диагностики, состояния пульпы и наличия необратимого воспаления.</w:t>
      </w:r>
    </w:p>
    <w:p w14:paraId="15B7185F" w14:textId="77777777" w:rsidR="00C221CA" w:rsidRPr="00C221CA" w:rsidRDefault="00C221CA" w:rsidP="00C221CA">
      <w:pPr>
        <w:rPr>
          <w:b/>
          <w:bCs/>
          <w:lang w:val="ru-RU" w:bidi="fa-IR"/>
        </w:rPr>
      </w:pPr>
      <w:r w:rsidRPr="00C221CA">
        <w:rPr>
          <w:b/>
          <w:bCs/>
          <w:lang w:val="ru-RU" w:bidi="fa-IR"/>
        </w:rPr>
        <w:t>Суть витальной терапии</w:t>
      </w:r>
    </w:p>
    <w:p w14:paraId="2C2EA3F1" w14:textId="77777777" w:rsidR="00C221CA" w:rsidRPr="00C221CA" w:rsidRDefault="00C221CA" w:rsidP="00C221CA">
      <w:pPr>
        <w:rPr>
          <w:lang w:val="ru-RU" w:bidi="fa-IR"/>
        </w:rPr>
      </w:pPr>
      <w:r w:rsidRPr="00C221CA">
        <w:rPr>
          <w:lang w:val="ru-RU" w:bidi="fa-IR"/>
        </w:rPr>
        <w:t>Гиперемия пульпы — это ранняя, обратимая форма воспаления, при которой возможно сохранение ее функции и структуры зуба. Показаниями к консервативному лечению являются гиперемия пульпы, случайное точечное вскрытие полости зуба и перелом коронки с обнажением пульпы. Противопоказанием служат все необратимые формы пульпита.</w:t>
      </w:r>
    </w:p>
    <w:p w14:paraId="14542D92" w14:textId="77777777" w:rsidR="00C221CA" w:rsidRPr="00C221CA" w:rsidRDefault="00C221CA" w:rsidP="00C221CA">
      <w:pPr>
        <w:rPr>
          <w:b/>
          <w:bCs/>
          <w:lang w:val="ru-RU" w:bidi="fa-IR"/>
        </w:rPr>
      </w:pPr>
      <w:r w:rsidRPr="00C221CA">
        <w:rPr>
          <w:b/>
          <w:bCs/>
          <w:lang w:val="ru-RU" w:bidi="fa-IR"/>
        </w:rPr>
        <w:t>Диагностика</w:t>
      </w:r>
    </w:p>
    <w:p w14:paraId="7C64E56B" w14:textId="77777777" w:rsidR="00C221CA" w:rsidRPr="00C221CA" w:rsidRDefault="00C221CA" w:rsidP="00C221CA">
      <w:pPr>
        <w:rPr>
          <w:lang w:val="ru-RU" w:bidi="fa-IR"/>
        </w:rPr>
      </w:pPr>
      <w:r w:rsidRPr="00C221CA">
        <w:rPr>
          <w:lang w:val="ru-RU" w:bidi="fa-IR"/>
        </w:rPr>
        <w:t>Перед лечением важно собрать подробный анамнез боли, оценить реакцию на температурные раздражители, провести перкуссию, электроодонтодиагностику и рентгенологическое исследование, при необходимости КЛКТ. На практике также учитывают характер и длительность кровотечения из пульпы, если нет более точных молекулярных тестов.</w:t>
      </w:r>
    </w:p>
    <w:p w14:paraId="6D41B6B2" w14:textId="77777777" w:rsidR="00C221CA" w:rsidRPr="00C221CA" w:rsidRDefault="00C221CA" w:rsidP="00C221CA">
      <w:pPr>
        <w:rPr>
          <w:b/>
          <w:bCs/>
          <w:lang w:val="ru-RU" w:bidi="fa-IR"/>
        </w:rPr>
      </w:pPr>
      <w:r w:rsidRPr="00C221CA">
        <w:rPr>
          <w:b/>
          <w:bCs/>
          <w:lang w:val="ru-RU" w:bidi="fa-IR"/>
        </w:rPr>
        <w:t>Материалы для лечения</w:t>
      </w:r>
    </w:p>
    <w:p w14:paraId="0D0AB78A" w14:textId="77777777" w:rsidR="00C221CA" w:rsidRPr="00C221CA" w:rsidRDefault="00C221CA" w:rsidP="00C221CA">
      <w:pPr>
        <w:rPr>
          <w:lang w:val="ru-RU" w:bidi="fa-IR"/>
        </w:rPr>
      </w:pPr>
      <w:r w:rsidRPr="00C221CA">
        <w:rPr>
          <w:lang w:val="ru-RU" w:bidi="fa-IR"/>
        </w:rPr>
        <w:t>Чаще всего используют препараты на основе гидроксида кальция и МТА, которые обладают антимикробным действием и стимулируют формирование репаративного дентина. МТА в последние годы все чаще предпочитают из-за хорошей герметизации, прочности и более выраженной эффективности при прямом покрытии пульпы. Цинкоксидэвгенольный цемент может оказывать антисептический и обезболивающий эффект, но при непосредственном контакте с пульпой способен вызывать воспаление и мешать полимеризации композитов. Адгезивные системы применяются спорно: их эффективность обсуждается, так как они не обладают выраженным антимикробным действием.</w:t>
      </w:r>
    </w:p>
    <w:p w14:paraId="6F2FD9C2" w14:textId="77777777" w:rsidR="00C221CA" w:rsidRPr="00C221CA" w:rsidRDefault="00C221CA" w:rsidP="00C221CA">
      <w:pPr>
        <w:rPr>
          <w:b/>
          <w:bCs/>
          <w:lang w:val="ru-RU" w:bidi="fa-IR"/>
        </w:rPr>
      </w:pPr>
      <w:r w:rsidRPr="00C221CA">
        <w:rPr>
          <w:b/>
          <w:bCs/>
          <w:lang w:val="ru-RU" w:bidi="fa-IR"/>
        </w:rPr>
        <w:t>Методы лечения и прогноз</w:t>
      </w:r>
    </w:p>
    <w:p w14:paraId="052B6F1F" w14:textId="7F174366" w:rsidR="004F7BD6" w:rsidRPr="004F7BD6" w:rsidRDefault="00C221CA" w:rsidP="004F7BD6">
      <w:pPr>
        <w:rPr>
          <w:lang w:bidi="fa-IR"/>
        </w:rPr>
      </w:pPr>
      <w:r w:rsidRPr="00C221CA">
        <w:rPr>
          <w:lang w:val="ru-RU" w:bidi="fa-IR"/>
        </w:rPr>
        <w:t xml:space="preserve">К консервативным подходам относятся непрямое покрытие пульпы, избирательное и пошаговое препарирование, прямое покрытие, частичная и полная пульпотомия. Все процедуры следует выполнять строго в асептических условиях, с коффердамом, а для гемостаза и дезинфекции чаще используют гипохлорит натрия или хлоргексидин. Оценку </w:t>
      </w:r>
      <w:r w:rsidRPr="00C221CA">
        <w:rPr>
          <w:lang w:val="ru-RU" w:bidi="fa-IR"/>
        </w:rPr>
        <w:lastRenderedPageBreak/>
        <w:t>результата проводят через 6 и 12 месяцев, а затем ежегодно до 4 лет; успешным считается отсутствие боли, периапикальных изменений и признаков резорбции, а у незрелых зубов — наличие признаков апексогенеза или апексификации.</w:t>
      </w:r>
    </w:p>
    <w:p w14:paraId="73B8CD28" w14:textId="77777777" w:rsidR="004F7BD6" w:rsidRDefault="004F7BD6" w:rsidP="002B2C05">
      <w:pPr>
        <w:rPr>
          <w:lang w:bidi="fa-IR"/>
        </w:rPr>
      </w:pPr>
    </w:p>
    <w:p w14:paraId="1A2A32EF" w14:textId="77777777" w:rsidR="004F7BD6" w:rsidRDefault="004F7BD6" w:rsidP="002B2C05">
      <w:pPr>
        <w:rPr>
          <w:lang w:bidi="fa-IR"/>
        </w:rPr>
      </w:pPr>
    </w:p>
    <w:p w14:paraId="688E0A81" w14:textId="77777777" w:rsidR="004F7BD6" w:rsidRPr="004F7BD6" w:rsidRDefault="004F7BD6" w:rsidP="004F7BD6">
      <w:pPr>
        <w:rPr>
          <w:b/>
          <w:bCs/>
          <w:sz w:val="32"/>
          <w:szCs w:val="32"/>
          <w:lang w:val="ru-RU" w:bidi="fa-IR"/>
        </w:rPr>
      </w:pPr>
      <w:r w:rsidRPr="004F7BD6">
        <w:rPr>
          <w:b/>
          <w:bCs/>
          <w:sz w:val="32"/>
          <w:szCs w:val="32"/>
          <w:lang w:val="ru-RU" w:bidi="fa-IR"/>
        </w:rPr>
        <w:t>2. Сравнительная оценка эффективности эндодонтической ирригации средствами на основе растворов гипохлорита натрия.</w:t>
      </w:r>
    </w:p>
    <w:p w14:paraId="5B6CB46E" w14:textId="77777777" w:rsidR="004F7BD6" w:rsidRPr="004F7BD6" w:rsidRDefault="004F7BD6" w:rsidP="004F7BD6">
      <w:pPr>
        <w:rPr>
          <w:lang w:val="ru-RU" w:bidi="fa-IR"/>
        </w:rPr>
      </w:pPr>
      <w:r w:rsidRPr="004F7BD6">
        <w:rPr>
          <w:b/>
          <w:bCs/>
          <w:lang w:val="ru-RU" w:bidi="fa-IR"/>
        </w:rPr>
        <w:t>Цель исследования</w:t>
      </w:r>
      <w:r w:rsidRPr="004F7BD6">
        <w:rPr>
          <w:lang w:val="ru-RU" w:bidi="fa-IR"/>
        </w:rPr>
        <w:t xml:space="preserve"> — повысить качество ирригации при эндодонтическом лечении за счет применения растворов гипохлорита натрия разной концентрации. Для оценки лизирующего действия были изучены два средства: «Дентисептин-3,0» и «Дентисептин-5,25». В каждой группе выполнено по 10 наблюдений с использованием экстирпированной пульпы зуба.</w:t>
      </w:r>
    </w:p>
    <w:p w14:paraId="7452BCA5" w14:textId="77777777" w:rsidR="004F7BD6" w:rsidRPr="004F7BD6" w:rsidRDefault="004F7BD6" w:rsidP="004F7BD6">
      <w:pPr>
        <w:rPr>
          <w:lang w:val="ru-RU" w:bidi="fa-IR"/>
        </w:rPr>
      </w:pPr>
      <w:r w:rsidRPr="004F7BD6">
        <w:rPr>
          <w:lang w:val="ru-RU" w:bidi="fa-IR"/>
        </w:rPr>
        <w:t xml:space="preserve">Гипохлорит натрия считается одним из наиболее эффективных ирригантов в эндодонтии благодаря антибактериальным и тканерастворяющим свойствам. Его действие связано с сапонификацией, нейтрализацией аминокислот, образованием хлораминов и высоким </w:t>
      </w:r>
      <w:r w:rsidRPr="004F7BD6">
        <w:rPr>
          <w:lang w:bidi="fa-IR"/>
        </w:rPr>
        <w:t>pH</w:t>
      </w:r>
      <w:r w:rsidRPr="004F7BD6">
        <w:rPr>
          <w:lang w:val="ru-RU" w:bidi="fa-IR"/>
        </w:rPr>
        <w:t>, что обеспечивает разрушение органических тканей и подавление микрофлоры. При этом более высокие концентрации повышают эффективность, но и увеличивают риск раздражения периапикальных тканей.</w:t>
      </w:r>
    </w:p>
    <w:p w14:paraId="52BD8FE4" w14:textId="77777777" w:rsidR="004F7BD6" w:rsidRPr="004F7BD6" w:rsidRDefault="004F7BD6" w:rsidP="004F7BD6">
      <w:pPr>
        <w:rPr>
          <w:lang w:val="ru-RU" w:bidi="fa-IR"/>
        </w:rPr>
      </w:pPr>
      <w:r w:rsidRPr="004F7BD6">
        <w:rPr>
          <w:lang w:val="ru-RU" w:bidi="fa-IR"/>
        </w:rPr>
        <w:t>В исследовании лизирование пульпы при использовании «Дентисептина-3,0» происходило за 6 минут 48 секунд, а при применении «Дентисептина-5,25» — за 3 минуты 54 секунды. Таким образом, средство с 5,25% гипохлоритом натрия оказалось почти в 2 раза эффективнее. Авторы отмечают, что именно эта концентрация обеспечивает более быстрое растворение тканей пульпы.</w:t>
      </w:r>
    </w:p>
    <w:p w14:paraId="4D460441" w14:textId="77777777" w:rsidR="004F7BD6" w:rsidRPr="004F7BD6" w:rsidRDefault="004F7BD6" w:rsidP="004F7BD6">
      <w:pPr>
        <w:rPr>
          <w:lang w:val="ru-RU" w:bidi="fa-IR"/>
        </w:rPr>
      </w:pPr>
      <w:r w:rsidRPr="004F7BD6">
        <w:rPr>
          <w:b/>
          <w:bCs/>
          <w:lang w:val="ru-RU" w:bidi="fa-IR"/>
        </w:rPr>
        <w:t>Вывод:</w:t>
      </w:r>
      <w:r w:rsidRPr="004F7BD6">
        <w:rPr>
          <w:lang w:val="ru-RU" w:bidi="fa-IR"/>
        </w:rPr>
        <w:t xml:space="preserve"> для растворения пульпы при лечении пульпитов и снижения риска эндодонтических осложнений целесообразно использовать средство на основе 5,25% раствора гипохлорита натрия в течение 4–5 минут контакта с тканями корневого канала.</w:t>
      </w:r>
    </w:p>
    <w:p w14:paraId="021B2EB4" w14:textId="77777777" w:rsidR="004F7BD6" w:rsidRDefault="004F7BD6" w:rsidP="002B2C05">
      <w:pPr>
        <w:rPr>
          <w:lang w:bidi="fa-IR"/>
        </w:rPr>
      </w:pPr>
    </w:p>
    <w:p w14:paraId="3442201F" w14:textId="77777777" w:rsidR="004F7BD6" w:rsidRDefault="004F7BD6" w:rsidP="004F7BD6">
      <w:pPr>
        <w:rPr>
          <w:lang w:val="ru-RU" w:bidi="fa-IR"/>
        </w:rPr>
      </w:pPr>
      <w:r w:rsidRPr="004F7BD6">
        <w:rPr>
          <w:b/>
          <w:bCs/>
          <w:lang w:val="ru-RU" w:bidi="fa-IR"/>
        </w:rPr>
        <w:t>Литература</w:t>
      </w:r>
      <w:r w:rsidRPr="002B2C05">
        <w:rPr>
          <w:lang w:val="ru-RU" w:bidi="fa-IR"/>
        </w:rPr>
        <w:br/>
        <w:t xml:space="preserve">1. Юдина Н.А., Манюк О. Н. Стоматологический журнал • 4 • декабрь • 2025 - </w:t>
      </w:r>
      <w:r w:rsidRPr="002B2C05">
        <w:rPr>
          <w:lang w:bidi="fa-IR"/>
        </w:rPr>
        <w:t>C</w:t>
      </w:r>
      <w:r w:rsidRPr="002B2C05">
        <w:rPr>
          <w:lang w:val="ru-RU" w:bidi="fa-IR"/>
        </w:rPr>
        <w:t>. 209-212.</w:t>
      </w:r>
    </w:p>
    <w:p w14:paraId="2D05029E" w14:textId="0DF4B02C" w:rsidR="004F7BD6" w:rsidRPr="004F7BD6" w:rsidRDefault="004F7BD6" w:rsidP="004F7BD6">
      <w:pPr>
        <w:rPr>
          <w:lang w:bidi="fa-IR"/>
        </w:rPr>
      </w:pPr>
      <w:r w:rsidRPr="002B2C05">
        <w:rPr>
          <w:lang w:val="ru-RU" w:bidi="fa-IR"/>
        </w:rPr>
        <w:t xml:space="preserve">2. Савостикова О.С., Манак Т.Н. Современная стоматология. - 2021. - </w:t>
      </w:r>
      <w:r w:rsidRPr="002B2C05">
        <w:rPr>
          <w:lang w:bidi="fa-IR"/>
        </w:rPr>
        <w:t>N</w:t>
      </w:r>
      <w:r w:rsidRPr="002B2C05">
        <w:rPr>
          <w:lang w:val="ru-RU" w:bidi="fa-IR"/>
        </w:rPr>
        <w:t>º2. - С. 77-79.</w:t>
      </w:r>
    </w:p>
    <w:sectPr w:rsidR="004F7BD6" w:rsidRPr="004F7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05"/>
    <w:rsid w:val="001F3E09"/>
    <w:rsid w:val="002638D5"/>
    <w:rsid w:val="002B2C05"/>
    <w:rsid w:val="003A4672"/>
    <w:rsid w:val="004F7BD6"/>
    <w:rsid w:val="005B39C5"/>
    <w:rsid w:val="006D5A03"/>
    <w:rsid w:val="00800F1B"/>
    <w:rsid w:val="00B479A1"/>
    <w:rsid w:val="00C2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BB42"/>
  <w15:chartTrackingRefBased/>
  <w15:docId w15:val="{04E6C23A-045E-4DA4-ACC5-32A6CF51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03E17-254D-48AC-9645-5BD26406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DigiBYTE.ir</dc:creator>
  <cp:keywords/>
  <dc:description/>
  <cp:lastModifiedBy>DigiBYTE.ir</cp:lastModifiedBy>
  <cp:revision>3</cp:revision>
  <dcterms:created xsi:type="dcterms:W3CDTF">2026-06-23T20:09:00Z</dcterms:created>
  <dcterms:modified xsi:type="dcterms:W3CDTF">2026-06-23T21:44:00Z</dcterms:modified>
</cp:coreProperties>
</file>