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CopDEM vs. LiDAR — Raster Difference Analysis (Austria)</w:t>
      </w:r>
    </w:p>
    <w:p>
      <w:r>
        <w:rPr>
          <w:color w:val="606060"/>
          <w:sz w:val="20"/>
        </w:rPr>
        <w:t>Whole-country per-cell comparison, 10m grid (LiDAR's native resolution — CopDEM upsampled onto it), EGM2008. Not obstacle-based — see the companion obstacle-based report for point comparisons at obstacle locations. Generated from data/dem_diff_lidar_10m.tif. Raster build method and the LiDAR vertical-datum source (GHA height, EPSG:5778): docs/lidar_comparison.md.</w:t>
      </w:r>
    </w:p>
    <w:p>
      <w:pPr>
        <w:pStyle w:val="Heading1"/>
      </w:pPr>
      <w:r>
        <w:t>CopDEM − LiDAR (m)</w:t>
      </w:r>
    </w:p>
    <w:p>
      <w:r>
        <w:t>Positive = CopDEM reads above LiDAR. Computed from a subsampled read (every 15th pixel in each direction — 3,783,880 sample cells from 1,845,933,373 native 10m cells). 46.1% of the sampled area has valid data in both sources.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stdev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p99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-7.6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20.2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26.3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-362.3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540.1</w:t>
            </w:r>
          </w:p>
        </w:tc>
      </w:tr>
    </w:tbl>
    <w:p/>
    <w:p>
      <w:r>
        <w:rPr>
          <w:b/>
        </w:rPr>
        <w:t>Distribution — bins span the 1st–99th percentile at full resolution; the outermost bars (if present) are catch-alls for everything beyond, spanning the true min/max. No value clipping is applied to this raster — a handful of pixels in extreme terrain (e.g. steep peaks/ridgelines, where InSAR-derived DEMs like CopDEM are known to have large errors) can dominate the true min/max; see docs/lidar_comparison.md for a specific, individually-verified example near Grossglockner.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0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r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