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2EC106" w14:textId="77777777" w:rsidR="00CE7179" w:rsidRDefault="00497D35">
      <w:pPr>
        <w:pStyle w:val="Title"/>
      </w:pPr>
      <w:r>
        <w:t>The temporal assembly of plant-pollinator networks following restoration</w:t>
      </w:r>
    </w:p>
    <w:p w14:paraId="7BAFE0C3" w14:textId="77777777" w:rsidR="00CE7179" w:rsidRDefault="00497D35">
      <w:pPr>
        <w:pStyle w:val="Author"/>
      </w:pPr>
      <w:r>
        <w:t>Lauren C. Ponisio</w:t>
      </w:r>
      <m:oMath>
        <m:sSup>
          <m:sSupPr>
            <m:ctrlPr>
              <w:rPr>
                <w:rFonts w:ascii="Cambria Math" w:hAnsi="Cambria Math"/>
              </w:rPr>
            </m:ctrlPr>
          </m:sSupPr>
          <m:e/>
          <m:sup>
            <m:r>
              <m:rPr>
                <m:sty m:val="p"/>
              </m:rPr>
              <w:rPr>
                <w:rFonts w:ascii="Cambria Math" w:hAnsi="Cambria Math"/>
              </w:rPr>
              <m:t>1,2</m:t>
            </m:r>
          </m:sup>
        </m:sSup>
      </m:oMath>
      <w:r>
        <w:t>, Marilia P. Gaiarsa</w:t>
      </w:r>
      <m:oMath>
        <m:sSup>
          <m:sSupPr>
            <m:ctrlPr>
              <w:rPr>
                <w:rFonts w:ascii="Cambria Math" w:hAnsi="Cambria Math"/>
              </w:rPr>
            </m:ctrlPr>
          </m:sSupPr>
          <m:e/>
          <m:sup>
            <m:r>
              <m:rPr>
                <m:sty m:val="p"/>
              </m:rPr>
              <w:rPr>
                <w:rFonts w:ascii="Cambria Math" w:hAnsi="Cambria Math"/>
              </w:rPr>
              <m:t>3</m:t>
            </m:r>
          </m:sup>
        </m:sSup>
      </m:oMath>
      <w:r>
        <w:t>, Claire Kremen</w:t>
      </w:r>
      <m:oMath>
        <m:sSup>
          <m:sSupPr>
            <m:ctrlPr>
              <w:rPr>
                <w:rFonts w:ascii="Cambria Math" w:hAnsi="Cambria Math"/>
              </w:rPr>
            </m:ctrlPr>
          </m:sSupPr>
          <m:e/>
          <m:sup>
            <m:r>
              <m:rPr>
                <m:sty m:val="p"/>
              </m:rPr>
              <w:rPr>
                <w:rFonts w:ascii="Cambria Math" w:hAnsi="Cambria Math"/>
              </w:rPr>
              <m:t>1</m:t>
            </m:r>
          </m:sup>
        </m:sSup>
      </m:oMath>
    </w:p>
    <w:p w14:paraId="254E9419" w14:textId="77777777" w:rsidR="00CE7179" w:rsidRDefault="00497D35">
      <w:r>
        <w:t xml:space="preserve">The ability of communities to maintain function in the face of species extinction is related to the structure of networks. Understanding network structure and how it relates to network assembly, therefore, is a priority for system-level conservation biology. Using a long-term data set comprising nearly 20,000 pollinator visitation records, we explore the assembly of </w:t>
      </w:r>
      <w:commentRangeStart w:id="0"/>
      <w:r>
        <w:t xml:space="preserve">plant-pollinator communities </w:t>
      </w:r>
      <w:commentRangeEnd w:id="0"/>
      <w:r w:rsidR="00C44779">
        <w:rPr>
          <w:rStyle w:val="CommentReference"/>
        </w:rPr>
        <w:commentReference w:id="0"/>
      </w:r>
      <w:r>
        <w:t xml:space="preserve">at native plant restorations in the Central Valley of California. Species are highly dynamic in their network position, causing assembly to be punctuated by significant reorganizations of interactions. </w:t>
      </w:r>
      <w:commentRangeStart w:id="1"/>
      <w:r>
        <w:t xml:space="preserve">Non-assembling mature hedgerows and weedy field margins did not undergo as many significant network reorganizations, suggesting environmental factors alone cannot account for the changes observed in assembling communities. </w:t>
      </w:r>
      <w:commentRangeEnd w:id="1"/>
      <w:r w:rsidR="00C21161">
        <w:rPr>
          <w:rStyle w:val="CommentReference"/>
        </w:rPr>
        <w:commentReference w:id="1"/>
      </w:r>
      <w:r>
        <w:t xml:space="preserve">Pollinator species were opportunistic in the flowers they visited. Indeed, the most persistent and generalized species were also the most variable in their network positions </w:t>
      </w:r>
      <w:commentRangeStart w:id="2"/>
      <w:r>
        <w:t xml:space="preserve">— the opposite of which would be expected by preferential attachment. </w:t>
      </w:r>
      <w:commentRangeEnd w:id="2"/>
      <w:r w:rsidR="002408D8">
        <w:rPr>
          <w:rStyle w:val="CommentReference"/>
        </w:rPr>
        <w:commentReference w:id="2"/>
      </w:r>
      <w:commentRangeStart w:id="3"/>
      <w:r>
        <w:t xml:space="preserve">High species and interaction turnover was ubiquitous across assembling and non-assembling communities, though unique interactions turnover at higher rates in assembling hedgerows as the networks continually reorganize. </w:t>
      </w:r>
      <w:commentRangeEnd w:id="3"/>
      <w:r>
        <w:rPr>
          <w:rStyle w:val="CommentReference"/>
        </w:rPr>
        <w:commentReference w:id="3"/>
      </w:r>
      <w:commentRangeStart w:id="4"/>
      <w:r>
        <w:t>Nestedness</w:t>
      </w:r>
      <w:commentRangeEnd w:id="4"/>
      <w:r w:rsidR="008D5A3E">
        <w:rPr>
          <w:rStyle w:val="CommentReference"/>
        </w:rPr>
        <w:commentReference w:id="4"/>
      </w:r>
      <w:r>
        <w:t xml:space="preserve"> of assembling networks also increased through time, but there was no increase in robustness to simulated plant extinctions. The resilience of networks to cascading perturbations, however, increased as the communities assembled, at least partially due to accumulating species richness. Our results elucidate some of the mechanisms underlying plant-pollinator network assembly and restoration, while providing further evidence that hedgerows are a valuable tool for promoting species conservation and ecosystem provision in agricultural areas.</w:t>
      </w:r>
    </w:p>
    <w:p w14:paraId="52945547" w14:textId="77777777" w:rsidR="00CE7179" w:rsidRDefault="00497D35">
      <w:r>
        <w:t>Keywords: network changing points, temporal networks, hedgerows, species interactions, preferential attachment, mutualisms</w:t>
      </w:r>
    </w:p>
    <w:p w14:paraId="1F98689A" w14:textId="77777777" w:rsidR="00CE7179" w:rsidRDefault="00497D35">
      <w:pPr>
        <w:pStyle w:val="Heading1"/>
      </w:pPr>
      <w:bookmarkStart w:id="5" w:name="sec:introduction"/>
      <w:bookmarkEnd w:id="5"/>
      <w:r>
        <w:t>Introduction</w:t>
      </w:r>
    </w:p>
    <w:p w14:paraId="34F18D53" w14:textId="77777777" w:rsidR="00CE7179" w:rsidRDefault="00497D35">
      <w:r>
        <w:t xml:space="preserve">Global change has created a severe biodiversity crisis, and as species are lost, so are their interactions (Dunn et al. 2009; Barnosky et al. 2011). Because mutualistic interactions are essential for maintaining the diversity their component guilds, these systems are particularly at risk from coextinction cascades. The nature of these cascades will depend on the interaction patterns within a community (Memmott, Waser, and Price 2004; Rezende et al. 2007; Bascompte and Stouffer 2009; Thébault and Fontaine 2010). To safeguard function it has become increasingly imperative to aid the recovery of lost biodiversity and interactions through ecological restoration, and a key restoration aim is to facilitate assembly of </w:t>
      </w:r>
      <w:r>
        <w:lastRenderedPageBreak/>
        <w:t>robust interaction networks (Menz et al. 2010). We know little, however, about how to re-assemble interacting communities through restoration, or the process of ecological network assembly more generally.</w:t>
      </w:r>
    </w:p>
    <w:p w14:paraId="31C77787" w14:textId="77777777" w:rsidR="00CE7179" w:rsidRDefault="00497D35">
      <w:r>
        <w:t xml:space="preserve">Preferential attachment, the most widely explored mechanism of network assembly, (Barabási and Albert 1999), predicts that species entering a network are more likely to interact with species that are already well-connected (”the rich-get-richer” principle, Barabási and Albert 1999). In pollination systems — a particularly ubiquitous mutualism (Ollerton, Winfree, and Tarrant 2011; Klein et al. 2007) — some studies have found support for this assembly mechanism. Investigating the day-to-day, temporal assembly of a plant-pollinator network within a season, Olesen et al. (2008) found that new species tended to interact with already well-connected species, potentially because these species are either more abundant or more temporally persistent. In addition, using a space-for-time substitution to study primary succession along a glacier foreland, Albrecht, Riesen, and Schmid (2010) also found some evidence that assembly occurred through preferential attachment. Network nestedness, a pattern of interactions where a core formed by generalist species that interact with both specialist and generalist species, increased as the community aged (Albrecht, Riesen, and Schmid 2010). Thus, an increase in nestedness could result from preferential attachment process where specialist species attach to the well-connected, generalist core. </w:t>
      </w:r>
      <w:commentRangeStart w:id="6"/>
      <w:r w:rsidRPr="00DE198D">
        <w:rPr>
          <w:highlight w:val="cyan"/>
          <w:rPrChange w:id="7" w:author="Lauren Ponisio" w:date="2016-10-03T15:46:00Z">
            <w:rPr/>
          </w:rPrChange>
        </w:rPr>
        <w:t xml:space="preserve">In contrast to the ordered network build-up described by preferential attachment, significant reorganizations of interactions can punctuate assembly (Peel and Clauset 2014). </w:t>
      </w:r>
      <w:commentRangeEnd w:id="6"/>
      <w:r w:rsidR="005D3081" w:rsidRPr="00DE198D">
        <w:rPr>
          <w:rStyle w:val="CommentReference"/>
          <w:highlight w:val="cyan"/>
          <w:rPrChange w:id="8" w:author="Lauren Ponisio" w:date="2016-10-03T15:46:00Z">
            <w:rPr>
              <w:rStyle w:val="CommentReference"/>
            </w:rPr>
          </w:rPrChange>
        </w:rPr>
        <w:commentReference w:id="6"/>
      </w:r>
      <w:commentRangeStart w:id="9"/>
      <w:r>
        <w:t>Such</w:t>
      </w:r>
      <w:commentRangeEnd w:id="9"/>
      <w:r w:rsidR="00CF6A30">
        <w:rPr>
          <w:rStyle w:val="CommentReference"/>
        </w:rPr>
        <w:commentReference w:id="9"/>
      </w:r>
      <w:r>
        <w:t xml:space="preserve"> significant reorganizations of interactions, or network changing points, are observed in social </w:t>
      </w:r>
      <w:commentRangeStart w:id="10"/>
      <w:r>
        <w:t>networks responding to abrupt shifts in the behavior of interactors (Peel and Clauset 2014</w:t>
      </w:r>
      <w:commentRangeEnd w:id="10"/>
      <w:r w:rsidR="005D3081">
        <w:rPr>
          <w:rStyle w:val="CommentReference"/>
        </w:rPr>
        <w:commentReference w:id="10"/>
      </w:r>
      <w:r>
        <w:t>). In ecological communities, such shifts may occur if, as new species colonize, resident species change their interaction partners to optimize their foraging effort. In plant-pollinator communities, theory predicts pollinators optimize their use of floral resources to reduce interspecific competition and improve resource-use efficiency (Pyke 1984; Valdovinos et al. 2010; Valdovinos et al. 2013; Albrecht, Riesen, and Schmid 2010; Blüthgen et al. 2007). No studies, however, have examined whether changing points occur during ecological network assembly, and how these changes relate to the species behavior.</w:t>
      </w:r>
    </w:p>
    <w:p w14:paraId="4C414FBB" w14:textId="77777777" w:rsidR="00CE7179" w:rsidRDefault="00497D35">
      <w:r>
        <w:t xml:space="preserve">Understanding network assembly is particularly relevant to ecological restoration, which is essentially ’applied succession’ (e.g., Parker 1997). In pollination systems, the time since an area was restored has been shown to affect the structure of networks (M. Forup et al. 2008; M. L. Forup et al. 2008; Devoto et al. 2012), suggesting interactions are </w:t>
      </w:r>
      <w:commentRangeStart w:id="11"/>
      <w:r>
        <w:t xml:space="preserve">evolving </w:t>
      </w:r>
      <w:commentRangeEnd w:id="11"/>
      <w:r w:rsidR="007F2AC7">
        <w:rPr>
          <w:rStyle w:val="CommentReference"/>
        </w:rPr>
        <w:commentReference w:id="11"/>
      </w:r>
      <w:r>
        <w:t xml:space="preserve">as the community develops. Understanding the mechanisms of network assembly will help to guide community restoration. Facilitating network restoration is especially imperative in areas where species interactions provide essential ecosystem services, such as crop pollination. In intensively managed agricultural landscapes, the demand for pollination services is the greatest (Kremen 2008). However, honey bees, managed extensively around the world to provide crop pollination, are in global decline (Neumann and Carreck 2010; Engelsdorp et al. 2009). In addition, native pollinators, which are capable of </w:t>
      </w:r>
      <w:r>
        <w:lastRenderedPageBreak/>
        <w:t xml:space="preserve">providing sufficient crop pollination (Kremen, Williams, and Thorp 2002; Winfree et al. 2007; Kremen et al. 2004), are in short supply because these landscapes make poor habitats for pollinator populations (Kremen, Williams, and Thorp 2002). To ensure the continued provision of ecosystem services and curb biodiversity loss, it is critical to restore pollinators and their interactions in agricultural landscapes. To promote pollinator services in agriculture, farmers may chose to plant strips of native plants along farm edges (hedgerows) to help provide habitat for pollinators without removing arable land from production. Hedgerows augment the richness, abundance and trait diversity of pollinators in agricultural landscapes (Morandin and Kremen 2013; M’Gonigle et al. 2015; Kremen and M’Gonigle 2015; Ponisio, M’Gonigle, and Kremen 2016). In addition, hedgerows promote the persistence and colonization of floral resource specialists (M’Gonigle et al. 2015). </w:t>
      </w:r>
      <w:commentRangeStart w:id="12"/>
      <w:r w:rsidRPr="000C6864">
        <w:rPr>
          <w:highlight w:val="cyan"/>
          <w:rPrChange w:id="13" w:author="Lauren Ponisio" w:date="2016-10-03T15:50:00Z">
            <w:rPr/>
          </w:rPrChange>
        </w:rPr>
        <w:t xml:space="preserve">Little is known, however, about how new species are being incorporated into the network as the community assembles, or the consequences for interaction patterns and </w:t>
      </w:r>
      <w:commentRangeStart w:id="14"/>
      <w:r w:rsidRPr="000C6864">
        <w:rPr>
          <w:highlight w:val="cyan"/>
          <w:rPrChange w:id="15" w:author="Lauren Ponisio" w:date="2016-10-03T15:50:00Z">
            <w:rPr/>
          </w:rPrChange>
        </w:rPr>
        <w:t>robustness</w:t>
      </w:r>
      <w:commentRangeEnd w:id="14"/>
      <w:r w:rsidR="00683D48">
        <w:rPr>
          <w:rStyle w:val="CommentReference"/>
        </w:rPr>
        <w:commentReference w:id="14"/>
      </w:r>
      <w:r w:rsidRPr="000C6864">
        <w:rPr>
          <w:highlight w:val="cyan"/>
          <w:rPrChange w:id="16" w:author="Lauren Ponisio" w:date="2016-10-03T15:50:00Z">
            <w:rPr/>
          </w:rPrChange>
        </w:rPr>
        <w:t>.</w:t>
      </w:r>
      <w:commentRangeEnd w:id="12"/>
      <w:r w:rsidR="00F673DE" w:rsidRPr="000C6864">
        <w:rPr>
          <w:rStyle w:val="CommentReference"/>
          <w:highlight w:val="cyan"/>
          <w:rPrChange w:id="17" w:author="Lauren Ponisio" w:date="2016-10-03T15:50:00Z">
            <w:rPr>
              <w:rStyle w:val="CommentReference"/>
            </w:rPr>
          </w:rPrChange>
        </w:rPr>
        <w:commentReference w:id="12"/>
      </w:r>
    </w:p>
    <w:p w14:paraId="009CA309" w14:textId="77777777" w:rsidR="00CE7179" w:rsidRDefault="00497D35">
      <w:r>
        <w:t xml:space="preserve">We explore the process of network development using a nine year dataset of plant-pollinator communities assembly following hedgerow restoration in the highly simplified and intensively managed agricultural landscape of California’s Central Valley. We first determine whether the mechanism underlying network assembly is </w:t>
      </w:r>
      <w:commentRangeStart w:id="18"/>
      <w:r>
        <w:t xml:space="preserve">a </w:t>
      </w:r>
      <w:commentRangeStart w:id="19"/>
      <w:r>
        <w:t xml:space="preserve">smooth </w:t>
      </w:r>
      <w:commentRangeEnd w:id="19"/>
      <w:r w:rsidR="005D29E2">
        <w:rPr>
          <w:rStyle w:val="CommentReference"/>
        </w:rPr>
        <w:commentReference w:id="19"/>
      </w:r>
      <w:r>
        <w:t xml:space="preserve">build up of interactions as would be predicted by preferential attachment, or punctuated by significant reorganizations of interactions (i.e., network changing points). </w:t>
      </w:r>
      <w:commentRangeEnd w:id="18"/>
      <w:r w:rsidR="00524851">
        <w:rPr>
          <w:rStyle w:val="CommentReference"/>
        </w:rPr>
        <w:commentReference w:id="18"/>
      </w:r>
      <w:r>
        <w:t>Even with changing points in interaction organization, networks could still be assembling via preferential attachment if the network reorganizations were primarily driven the by peripheral, temporally variable species while a stable, well-connected core of species persist. We test whether the species that are most variable in their network position — and thus important contributors to network reorganizations — are less persistent and connected species. To further explore the mechanisms underlying the temporal dynamics of the networks, we examine patterns in the species and interaction temporal turnover. Lastly, we investigate whether networks are assembling toward predictable interaction patterns, and the ramifications for the robustness of the networks to species extinction and cascading perturbations.</w:t>
      </w:r>
    </w:p>
    <w:p w14:paraId="14274B8A" w14:textId="77777777" w:rsidR="00CE7179" w:rsidRDefault="00497D35">
      <w:pPr>
        <w:pStyle w:val="Heading1"/>
      </w:pPr>
      <w:bookmarkStart w:id="20" w:name="sec:methods"/>
      <w:bookmarkEnd w:id="20"/>
      <w:r>
        <w:t>Materials &amp; Methods</w:t>
      </w:r>
    </w:p>
    <w:p w14:paraId="4289BA9C" w14:textId="77777777" w:rsidR="00CE7179" w:rsidRDefault="00497D35">
      <w:pPr>
        <w:pStyle w:val="Heading2"/>
      </w:pPr>
      <w:bookmarkStart w:id="21" w:name="sec:study-sites"/>
      <w:bookmarkEnd w:id="21"/>
      <w:r>
        <w:t>Study sites and collection methods</w:t>
      </w:r>
    </w:p>
    <w:p w14:paraId="38C8D0F8" w14:textId="77777777" w:rsidR="00CE7179" w:rsidRDefault="00497D35">
      <w:r>
        <w:t>We surveyed plant-pollinator interaction networks of assembling hedgerows communities (N=5), as well as in two types of non-assembling communities to serve as controls: unrestored, weedy field margins (N=19) and mature hedgerows (greater than 10 years since planting, N=29). The sites were located in the Central Valley of California in Yolo, Colusa and Solano Counties. This area is composed of intensively managed agriculture — primarily monocultures of conventional row crops, vineyards and orchards. Hedgerows we planted along field margins where they do not remove valuable land from production. Plantings are between are ca. 3–</w:t>
      </w:r>
      <w:r>
        <w:lastRenderedPageBreak/>
        <w:t xml:space="preserve">6 m wide and approximately 350 m long, bordering large (ca. 30–hectare) crop fields. Hedgerows consist of native, perennial, shrub and tree plantings including </w:t>
      </w:r>
      <w:r>
        <w:rPr>
          <w:i/>
        </w:rPr>
        <w:t>Rosa californica</w:t>
      </w:r>
      <w:r>
        <w:t xml:space="preserve">, </w:t>
      </w:r>
      <w:r>
        <w:rPr>
          <w:i/>
        </w:rPr>
        <w:t>Cercis occidentalis</w:t>
      </w:r>
      <w:r>
        <w:t xml:space="preserve">, </w:t>
      </w:r>
      <w:r>
        <w:rPr>
          <w:i/>
        </w:rPr>
        <w:t>Ceanothus spp.</w:t>
      </w:r>
      <w:r>
        <w:t xml:space="preserve">, </w:t>
      </w:r>
      <w:r>
        <w:rPr>
          <w:i/>
        </w:rPr>
        <w:t>Heteromeles arbutifolia</w:t>
      </w:r>
      <w:r>
        <w:t xml:space="preserve">, </w:t>
      </w:r>
      <w:r>
        <w:rPr>
          <w:i/>
        </w:rPr>
        <w:t>Sambucus mexicana</w:t>
      </w:r>
      <w:r>
        <w:t xml:space="preserve">, </w:t>
      </w:r>
      <w:r>
        <w:rPr>
          <w:i/>
        </w:rPr>
        <w:t>Eriogonum spp.</w:t>
      </w:r>
      <w:r>
        <w:t xml:space="preserve">, </w:t>
      </w:r>
      <w:r>
        <w:rPr>
          <w:i/>
        </w:rPr>
        <w:t>Baccharis spp.</w:t>
      </w:r>
      <w:r>
        <w:t xml:space="preserve">, </w:t>
      </w:r>
      <w:r>
        <w:rPr>
          <w:i/>
        </w:rPr>
        <w:t>Salvia spp</w:t>
      </w:r>
      <w:r>
        <w:t xml:space="preserve">. and others (Kremen and M’Gonigle 2015; M’Gonigle et al. 2015). </w:t>
      </w:r>
      <w:commentRangeStart w:id="22"/>
      <w:r>
        <w:t xml:space="preserve">The mean distance between monitoring sites was 15 km, and the minimum distance between sites of the same type sampled in the same year was 2 km. </w:t>
      </w:r>
      <w:commentRangeEnd w:id="22"/>
      <w:r w:rsidR="002F4D7B">
        <w:rPr>
          <w:rStyle w:val="CommentReference"/>
        </w:rPr>
        <w:commentReference w:id="22"/>
      </w:r>
      <w:r>
        <w:t>The entire area surveyed spanned almost 300 km</w:t>
      </w:r>
      <m:oMath>
        <m:sSup>
          <m:sSupPr>
            <m:ctrlPr>
              <w:rPr>
                <w:rFonts w:ascii="Cambria Math" w:hAnsi="Cambria Math"/>
              </w:rPr>
            </m:ctrlPr>
          </m:sSupPr>
          <m:e/>
          <m:sup>
            <m:r>
              <m:rPr>
                <m:sty m:val="p"/>
              </m:rPr>
              <w:rPr>
                <w:rFonts w:ascii="Cambria Math" w:hAnsi="Cambria Math"/>
              </w:rPr>
              <m:t>2</m:t>
            </m:r>
          </m:sup>
        </m:sSup>
      </m:oMath>
      <w:r>
        <w:t>. The crop fields adjacent to all sites were similarly managed as intensive, high-input monoculture.</w:t>
      </w:r>
    </w:p>
    <w:p w14:paraId="0B05979C" w14:textId="77777777" w:rsidR="00CE7179" w:rsidRDefault="00497D35">
      <w:r>
        <w:t xml:space="preserve">Monitoring began in 2006 and continued through 2014. Surveys of the assembling hedgerows began the year before the area was restored. For logistical reasons, no sampling of assembling hedgerows was conducted in 2010. Sites were sampled between two and five times per year (Tables S1-S3). In each round of sampling, the order in which sites were sampled was randomized. Surveys were conducted under sunny conditions when the temperature was above </w:t>
      </w:r>
      <m:oMath>
        <m:sSup>
          <m:sSupPr>
            <m:ctrlPr>
              <w:rPr>
                <w:rFonts w:ascii="Cambria Math" w:hAnsi="Cambria Math"/>
              </w:rPr>
            </m:ctrlPr>
          </m:sSupPr>
          <m:e>
            <m:r>
              <m:rPr>
                <m:sty m:val="p"/>
              </m:rPr>
              <w:rPr>
                <w:rFonts w:ascii="Cambria Math" w:hAnsi="Cambria Math"/>
              </w:rPr>
              <m:t>21</m:t>
            </m:r>
          </m:e>
          <m:sup>
            <m:r>
              <m:rPr>
                <m:sty m:val="p"/>
              </m:rPr>
              <w:rPr>
                <w:rFonts w:ascii="Cambria Math" w:hAnsi="Cambria Math"/>
              </w:rPr>
              <m:t>∘</m:t>
            </m:r>
          </m:sup>
        </m:sSup>
        <m:r>
          <m:rPr>
            <m:sty m:val="p"/>
          </m:rPr>
          <w:rPr>
            <w:rFonts w:ascii="Cambria Math" w:hAnsi="Cambria Math"/>
          </w:rPr>
          <m:t>C</m:t>
        </m:r>
      </m:oMath>
      <w:r>
        <w:t xml:space="preserve"> and wind speed was below </w:t>
      </w:r>
      <m:oMath>
        <m:r>
          <m:rPr>
            <m:sty m:val="p"/>
          </m:rPr>
          <w:rPr>
            <w:rFonts w:ascii="Cambria Math" w:hAnsi="Cambria Math"/>
          </w:rPr>
          <m:t>2.5</m:t>
        </m:r>
      </m:oMath>
      <w:r>
        <w:t xml:space="preserve"> meters/second.</w:t>
      </w:r>
    </w:p>
    <w:p w14:paraId="7095E328" w14:textId="77777777" w:rsidR="00CE7179" w:rsidRDefault="00497D35">
      <w:r>
        <w:t>Flower-visitors to plants in hedgerows and unrestored controls were netted for one hour of active search time (the timer was paused when handling specimens). Honeybees (</w:t>
      </w:r>
      <w:r>
        <w:rPr>
          <w:i/>
        </w:rPr>
        <w:t>Apis mellifera</w:t>
      </w:r>
      <w:r>
        <w:t xml:space="preserve">) were not collected because their 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 </w:t>
      </w:r>
      <w:r>
        <w:rPr>
          <w:i/>
        </w:rPr>
        <w:t>Nomada</w:t>
      </w:r>
      <w:r>
        <w:t xml:space="preserve"> and </w:t>
      </w:r>
      <w:r>
        <w:rPr>
          <w:i/>
        </w:rPr>
        <w:t>Sphecodes</w:t>
      </w:r>
      <w:r>
        <w:t>) by expert taxonomists.</w:t>
      </w:r>
    </w:p>
    <w:p w14:paraId="41386B2B" w14:textId="77777777" w:rsidR="00CE7179" w:rsidRDefault="00497D35">
      <w:r>
        <w:t>Quantitative networks were generated for each site through time. To account for the unequal number of surveys between years (Tables S1-S3), we use the mean of the interactions between a pair of plants and pollinators across surveys within a year to represent interaction frequency.</w:t>
      </w:r>
    </w:p>
    <w:p w14:paraId="2C74315B" w14:textId="77777777" w:rsidR="00CE7179" w:rsidRDefault="00497D35">
      <w:pPr>
        <w:pStyle w:val="Heading2"/>
      </w:pPr>
      <w:bookmarkStart w:id="23" w:name="change-point-analysis"/>
      <w:bookmarkEnd w:id="23"/>
      <w:r>
        <w:t>Change point analysis</w:t>
      </w:r>
    </w:p>
    <w:p w14:paraId="009636A5" w14:textId="77777777" w:rsidR="00CE7179" w:rsidRDefault="00497D35">
      <w:pPr>
        <w:pStyle w:val="Heading3"/>
      </w:pPr>
      <w:bookmarkStart w:id="24" w:name="identifying-change-points"/>
      <w:bookmarkEnd w:id="24"/>
      <w:r>
        <w:t>Identifying change points</w:t>
      </w:r>
    </w:p>
    <w:p w14:paraId="1DBB0F77" w14:textId="6B41C83A" w:rsidR="00CE7179" w:rsidRDefault="00497D35">
      <w:r>
        <w:t xml:space="preserve">We employed a change point detection method (Peel and Clauset 2014) to identify fundamental reorganizations in large-scale interaction patterns. A change point is </w:t>
      </w:r>
      <w:commentRangeStart w:id="25"/>
      <w:r>
        <w:t xml:space="preserve">caused by a merge, split, fragmentation or formation of </w:t>
      </w:r>
      <w:del w:id="26" w:author="Paulo Guimaraes" w:date="2016-09-28T23:58:00Z">
        <w:r w:rsidDel="00E168C2">
          <w:delText xml:space="preserve">communities </w:delText>
        </w:r>
      </w:del>
      <w:ins w:id="27" w:author="Paulo Guimaraes" w:date="2016-09-28T23:58:00Z">
        <w:r w:rsidR="00E168C2">
          <w:t>modul</w:t>
        </w:r>
      </w:ins>
      <w:ins w:id="28" w:author="Paulo Guimaraes" w:date="2016-09-28T23:59:00Z">
        <w:r w:rsidR="00E168C2">
          <w:t>e</w:t>
        </w:r>
      </w:ins>
      <w:ins w:id="29" w:author="Paulo Guimaraes" w:date="2016-09-28T23:58:00Z">
        <w:r w:rsidR="00E168C2">
          <w:t>s</w:t>
        </w:r>
      </w:ins>
      <w:ins w:id="30" w:author="Paulo Guimaraes" w:date="2016-09-29T00:00:00Z">
        <w:r w:rsidR="00167B96">
          <w:t xml:space="preserve"> </w:t>
        </w:r>
      </w:ins>
      <w:r>
        <w:t xml:space="preserve">(also called </w:t>
      </w:r>
      <w:commentRangeEnd w:id="25"/>
      <w:r w:rsidR="00E168C2">
        <w:rPr>
          <w:rStyle w:val="CommentReference"/>
        </w:rPr>
        <w:commentReference w:id="25"/>
      </w:r>
      <w:del w:id="31" w:author="Paulo Guimaraes" w:date="2016-09-28T23:59:00Z">
        <w:r w:rsidDel="00E168C2">
          <w:delText xml:space="preserve">modules or </w:delText>
        </w:r>
      </w:del>
      <w:r>
        <w:t xml:space="preserve">compartments). Change point detection methods have yet to be generalized to quantitative networks, </w:t>
      </w:r>
      <w:commentRangeStart w:id="32"/>
      <w:r w:rsidRPr="002E06BF">
        <w:rPr>
          <w:highlight w:val="cyan"/>
          <w:rPrChange w:id="33" w:author="Lauren Ponisio" w:date="2016-10-03T15:54:00Z">
            <w:rPr/>
          </w:rPrChange>
        </w:rPr>
        <w:t xml:space="preserve">so for this analysis we focused on qualitative (binary) </w:t>
      </w:r>
      <w:commentRangeStart w:id="34"/>
      <w:r w:rsidRPr="002E06BF">
        <w:rPr>
          <w:highlight w:val="cyan"/>
          <w:rPrChange w:id="35" w:author="Lauren Ponisio" w:date="2016-10-03T15:54:00Z">
            <w:rPr/>
          </w:rPrChange>
        </w:rPr>
        <w:t>networks</w:t>
      </w:r>
      <w:commentRangeEnd w:id="34"/>
      <w:r w:rsidR="00E32517">
        <w:rPr>
          <w:rStyle w:val="CommentReference"/>
        </w:rPr>
        <w:commentReference w:id="34"/>
      </w:r>
      <w:r w:rsidRPr="002E06BF">
        <w:rPr>
          <w:highlight w:val="cyan"/>
          <w:rPrChange w:id="36" w:author="Lauren Ponisio" w:date="2016-10-03T15:54:00Z">
            <w:rPr/>
          </w:rPrChange>
        </w:rPr>
        <w:t xml:space="preserve">. </w:t>
      </w:r>
      <w:commentRangeEnd w:id="32"/>
      <w:r w:rsidR="00326C1D" w:rsidRPr="002E06BF">
        <w:rPr>
          <w:rStyle w:val="CommentReference"/>
          <w:highlight w:val="cyan"/>
          <w:rPrChange w:id="37" w:author="Lauren Ponisio" w:date="2016-10-03T15:54:00Z">
            <w:rPr>
              <w:rStyle w:val="CommentReference"/>
            </w:rPr>
          </w:rPrChange>
        </w:rPr>
        <w:commentReference w:id="32"/>
      </w:r>
      <w:r>
        <w:t xml:space="preserve">Following Peel and Clauset (2014), we first defined a probability distribution over the networks using the generalized hierarchical random graph model (GHRG). The GHRG model is able to capture both assortative and disassortative community structure patterns at all scales in the network (Peel and </w:t>
      </w:r>
      <w:r>
        <w:lastRenderedPageBreak/>
        <w:t xml:space="preserve">Clauset 2014). A network </w:t>
      </w:r>
      <m:oMath>
        <m:r>
          <m:rPr>
            <m:sty m:val="p"/>
          </m:rPr>
          <w:rPr>
            <w:rFonts w:ascii="Cambria Math" w:hAnsi="Cambria Math"/>
          </w:rPr>
          <m:t>G</m:t>
        </m:r>
      </m:oMath>
      <w:r>
        <w:t xml:space="preserve"> is composed of vertices </w:t>
      </w:r>
      <m:oMath>
        <m:r>
          <m:rPr>
            <m:sty m:val="p"/>
          </m:rPr>
          <w:rPr>
            <w:rFonts w:ascii="Cambria Math" w:hAnsi="Cambria Math"/>
          </w:rPr>
          <m:t>V</m:t>
        </m:r>
      </m:oMath>
      <w:r>
        <w:t xml:space="preserve"> and edges </w:t>
      </w:r>
      <m:oMath>
        <m:r>
          <m:rPr>
            <m:sty m:val="p"/>
          </m:rPr>
          <w:rPr>
            <w:rFonts w:ascii="Cambria Math" w:hAnsi="Cambria Math"/>
          </w:rPr>
          <m:t>E</m:t>
        </m:r>
      </m:oMath>
      <w:r>
        <w:t xml:space="preserve">. The GHRG model decomposes the </w:t>
      </w:r>
      <m:oMath>
        <m:r>
          <m:rPr>
            <m:sty m:val="p"/>
          </m:rPr>
          <w:rPr>
            <w:rFonts w:ascii="Cambria Math" w:hAnsi="Cambria Math"/>
          </w:rPr>
          <m:t>N</m:t>
        </m:r>
      </m:oMath>
      <w:r>
        <w:t xml:space="preserve"> vertices into a series of nested groups, the relationships among which are represented by the dendrogram </w:t>
      </w:r>
      <m:oMath>
        <m:r>
          <m:rPr>
            <m:sty m:val="p"/>
          </m:rPr>
          <w:rPr>
            <w:rFonts w:ascii="Cambria Math" w:hAnsi="Cambria Math"/>
          </w:rPr>
          <m:t>T</m:t>
        </m:r>
      </m:oMath>
      <w:r>
        <w:t xml:space="preserve">. The tips of </w:t>
      </w:r>
      <m:oMath>
        <m:r>
          <m:rPr>
            <m:sty m:val="p"/>
          </m:rPr>
          <w:rPr>
            <w:rFonts w:ascii="Cambria Math" w:hAnsi="Cambria Math"/>
          </w:rPr>
          <m:t>T</m:t>
        </m:r>
      </m:oMath>
      <w:r>
        <w:t xml:space="preserve"> are the vertices of </w:t>
      </w:r>
      <m:oMath>
        <m:r>
          <m:rPr>
            <m:sty m:val="p"/>
          </m:rPr>
          <w:rPr>
            <w:rFonts w:ascii="Cambria Math" w:hAnsi="Cambria Math"/>
          </w:rPr>
          <m:t>G</m:t>
        </m:r>
      </m:oMath>
      <w:r>
        <w:t xml:space="preserve">, and the probability that two vertices </w:t>
      </w:r>
      <m:oMath>
        <m:r>
          <m:rPr>
            <m:sty m:val="p"/>
          </m:rPr>
          <w:rPr>
            <w:rFonts w:ascii="Cambria Math" w:hAnsi="Cambria Math"/>
          </w:rPr>
          <m:t>u</m:t>
        </m:r>
      </m:oMath>
      <w:r>
        <w:t xml:space="preserve"> and </w:t>
      </w:r>
      <m:oMath>
        <m:r>
          <m:rPr>
            <m:sty m:val="p"/>
          </m:rPr>
          <w:rPr>
            <w:rFonts w:ascii="Cambria Math" w:hAnsi="Cambria Math"/>
          </w:rPr>
          <m:t>v</m:t>
        </m:r>
      </m:oMath>
      <w:r>
        <w:t xml:space="preserve"> connect is given by the parameter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The probability distribution of the network </w:t>
      </w:r>
      <m:oMath>
        <m:r>
          <m:rPr>
            <m:sty m:val="p"/>
          </m:rPr>
          <w:rPr>
            <w:rFonts w:ascii="Cambria Math" w:hAnsi="Cambria Math"/>
          </w:rPr>
          <m:t>G</m:t>
        </m:r>
      </m:oMath>
      <w:r>
        <w:t xml:space="preserve"> thus defined as:</w:t>
      </w:r>
    </w:p>
    <w:p w14:paraId="2C4D1290" w14:textId="77777777" w:rsidR="00CE7179" w:rsidRDefault="00497D35">
      <m:oMathPara>
        <m:oMathParaPr>
          <m:jc m:val="center"/>
        </m:oMathParaPr>
        <m:oMath>
          <m:r>
            <m:rPr>
              <m:sty m:val="p"/>
            </m:rPr>
            <w:rPr>
              <w:rFonts w:ascii="Cambria Math" w:hAnsi="Cambria Math"/>
            </w:rPr>
            <m:t>P(G|T,pr)=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r</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bSup>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p>
        </m:oMath>
      </m:oMathPara>
    </w:p>
    <w:p w14:paraId="23CDE47C" w14:textId="77777777" w:rsidR="00CE7179" w:rsidRDefault="00497D35">
      <w:r>
        <w:t xml:space="preserve">Where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oMath>
      <w:r>
        <w:t xml:space="preserve"> is the observed number of edges between vertices with the common ancestor </w:t>
      </w:r>
      <m:oMath>
        <m:r>
          <m:rPr>
            <m:sty m:val="p"/>
          </m:rPr>
          <w:rPr>
            <w:rFonts w:ascii="Cambria Math" w:hAnsi="Cambria Math"/>
          </w:rPr>
          <m:t>r</m:t>
        </m:r>
      </m:oMath>
      <w:r>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oMath>
      <w:r>
        <w:t xml:space="preserve"> is the total possible edges.</w:t>
      </w:r>
    </w:p>
    <w:p w14:paraId="2CC333CA" w14:textId="77777777" w:rsidR="00CE7179" w:rsidRDefault="00497D35">
      <w:r>
        <w:t xml:space="preserve">Using Bayesian posterior inference and techniques from phylogenetic tree reconstruction, we fit the GHRG model to the networks (Peel and Clauset 2014). This is accomplished by using a Markov chain Monte Carlo (MCMC) procedure to first sample the posterior distribution of bipartitions, from which a consensus tree is derived (Peel and Clauset 2014). We use </w:t>
      </w:r>
      <m:oMath>
        <m:r>
          <m:rPr>
            <m:sty m:val="p"/>
          </m:rPr>
          <w:rPr>
            <w:rFonts w:ascii="Cambria Math" w:hAnsi="Cambria Math"/>
          </w:rPr>
          <m:t>β</m:t>
        </m:r>
      </m:oMath>
      <w:r>
        <w:t xml:space="preserve"> distributions with the hyperparameters </w:t>
      </w:r>
      <m:oMath>
        <m:r>
          <m:rPr>
            <m:sty m:val="p"/>
          </m:rPr>
          <w:rPr>
            <w:rFonts w:ascii="Cambria Math" w:hAnsi="Cambria Math"/>
          </w:rPr>
          <m:t>α=β=1</m:t>
        </m:r>
      </m:oMath>
      <w:r>
        <w:t xml:space="preserve"> to define priors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w:t>
      </w:r>
    </w:p>
    <w:p w14:paraId="57A69A32" w14:textId="77777777" w:rsidR="00CE7179" w:rsidRDefault="00497D35">
      <w:r>
        <w:t xml:space="preserve">Once the GHRG model has been fit to the networks, we determine whether a change point occurred between two time slices. To detect a change point, we compare the fit of two models — one where a change point occurred between two networks, and one where no change occurred — using posterior Bayes factors. We chose a sliding window of length, </w:t>
      </w:r>
      <m:oMath>
        <m:r>
          <m:rPr>
            <m:sty m:val="p"/>
          </m:rPr>
          <w:rPr>
            <w:rFonts w:ascii="Cambria Math" w:hAnsi="Cambria Math"/>
          </w:rPr>
          <m:t>w</m:t>
        </m:r>
      </m:oMath>
      <w:r>
        <w:t xml:space="preserve">, of four, within which to find change points. Larger windows allow for more gradual changes, and four was the maximum possible with our maximum of eight years of data. Lastly, to calculate a </w:t>
      </w:r>
      <m:oMath>
        <m:r>
          <m:rPr>
            <m:sty m:val="p"/>
          </m:rPr>
          <w:rPr>
            <w:rFonts w:ascii="Cambria Math" w:hAnsi="Cambria Math"/>
          </w:rPr>
          <m:t>p</m:t>
        </m:r>
      </m:oMath>
      <w:r>
        <w:t>-value for the Bayes factors, we use parametric bootstrapping to numerically estimate the null distribution (Peel and Clauset 2014). We employed code published online by L. Peel for the change point analysis. Analyses were conducted in Python 3.4.</w:t>
      </w:r>
    </w:p>
    <w:p w14:paraId="2D764F23" w14:textId="77777777" w:rsidR="00CE7179" w:rsidRDefault="00497D35">
      <w:r>
        <w:t xml:space="preserve">We next test whether the change points occurring in maturing hedgerows were a component of the assembly process or a product of environmental shifts that lead to network reorganizations in all types of communities. We model the number of change points as successes and the total number of years each site was sampled as trails, and use a generalized linear model with Binomial error to test whether the probability of a change point occurring varied by site type. We used standard techniques to determine whether the assumptions of the models were met for this and all subsequent models. For the non-assembling hedgerows and weedy field </w:t>
      </w:r>
      <w:commentRangeStart w:id="38"/>
      <w:r>
        <w:t xml:space="preserve">margins, only sites with five or greater survey years were included in this analysis. </w:t>
      </w:r>
      <w:commentRangeEnd w:id="38"/>
      <w:r w:rsidR="004B3E88">
        <w:rPr>
          <w:rStyle w:val="CommentReference"/>
        </w:rPr>
        <w:commentReference w:id="38"/>
      </w:r>
      <w:r>
        <w:t>All statistical analysis were conducted in R 3.2.3 (R Core Team 2015).</w:t>
      </w:r>
    </w:p>
    <w:p w14:paraId="2EC6C124" w14:textId="77777777" w:rsidR="00CE7179" w:rsidRDefault="00497D35">
      <w:pPr>
        <w:pStyle w:val="Heading3"/>
      </w:pPr>
      <w:r>
        <w:t>Characteristics of species that contribute to change points</w:t>
      </w:r>
    </w:p>
    <w:p w14:paraId="19EC4A3D" w14:textId="77777777" w:rsidR="00CE7179" w:rsidRDefault="00497D35">
      <w:r>
        <w:t xml:space="preserve">To further elucidate the nature of the change points, we examine the characteristics of the species that contributed to interaction reorganization. Some species remain in relatively similar network positions through time, whereas others are more variable in their position and thus contribute more strongly to network reorganization. We test whether the more persistent species with the highest degree (number of </w:t>
      </w:r>
      <w:r>
        <w:lastRenderedPageBreak/>
        <w:t>different interaction partners) are the most stable in their network positions, as would be expected if the networks were assembling via preferential attachment.</w:t>
      </w:r>
    </w:p>
    <w:p w14:paraId="18E8B691" w14:textId="35B87BC5" w:rsidR="00CE7179" w:rsidRDefault="00497D35">
      <w:r>
        <w:t xml:space="preserve">We calculate species persistence as the proportion of surveys in which a plant or pollinator is observed. Species observed consistently within and between years are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 (M’Gonigle et al. 2015; Ponisio, M’Gonigle, and Kremen 2016). To represent network position variability, we computed the coefficient of variation of weighted closeness </w:t>
      </w:r>
      <w:ins w:id="39" w:author="Paulo Guimaraes" w:date="2016-09-29T00:09:00Z">
        <w:r w:rsidR="0063019C">
          <w:t xml:space="preserve">centrality? </w:t>
        </w:r>
      </w:ins>
      <w:r>
        <w:t xml:space="preserve">at each site through time. Closeness </w:t>
      </w:r>
      <w:ins w:id="40" w:author="Paulo Guimaraes" w:date="2016-09-29T00:09:00Z">
        <w:r w:rsidR="0063019C">
          <w:t xml:space="preserve">centrality </w:t>
        </w:r>
      </w:ins>
      <w:r>
        <w:t>describes the centrality of a species in the network by calculating path lengths to other vertices (species) in the graph</w:t>
      </w:r>
      <w:ins w:id="41" w:author="Paulo Guimaraes" w:date="2016-09-29T00:09:00Z">
        <w:r w:rsidR="0063019C">
          <w:t xml:space="preserve"> (REF?)</w:t>
        </w:r>
      </w:ins>
      <w:r>
        <w:t>.</w:t>
      </w:r>
      <w:ins w:id="42" w:author="Paulo Guimaraes" w:date="2016-09-29T00:10:00Z">
        <w:r w:rsidR="000965C1">
          <w:t xml:space="preserve"> </w:t>
        </w:r>
        <w:r w:rsidR="000965C1" w:rsidRPr="00423047">
          <w:rPr>
            <w:highlight w:val="cyan"/>
            <w:rPrChange w:id="43" w:author="Lauren Ponisio" w:date="2016-10-03T16:07:00Z">
              <w:rPr/>
            </w:rPrChange>
          </w:rPr>
          <w:t xml:space="preserve">The lower is the mean path length to other species, the higher is the </w:t>
        </w:r>
        <w:commentRangeStart w:id="44"/>
        <w:r w:rsidR="000965C1" w:rsidRPr="00423047">
          <w:rPr>
            <w:highlight w:val="cyan"/>
            <w:rPrChange w:id="45" w:author="Lauren Ponisio" w:date="2016-10-03T16:07:00Z">
              <w:rPr/>
            </w:rPrChange>
          </w:rPr>
          <w:t>centrality</w:t>
        </w:r>
      </w:ins>
      <w:commentRangeEnd w:id="44"/>
      <w:r w:rsidR="00C16FBD">
        <w:rPr>
          <w:rStyle w:val="CommentReference"/>
        </w:rPr>
        <w:commentReference w:id="44"/>
      </w:r>
      <w:ins w:id="46" w:author="Paulo Guimaraes" w:date="2016-09-29T00:10:00Z">
        <w:r w:rsidR="000965C1" w:rsidRPr="00423047">
          <w:rPr>
            <w:highlight w:val="cyan"/>
            <w:rPrChange w:id="47" w:author="Lauren Ponisio" w:date="2016-10-03T16:07:00Z">
              <w:rPr/>
            </w:rPrChange>
          </w:rPr>
          <w:t>.</w:t>
        </w:r>
        <w:r w:rsidR="000965C1">
          <w:t xml:space="preserve"> </w:t>
        </w:r>
      </w:ins>
      <w:r>
        <w:t xml:space="preserve"> We use linear mixed models to test whether the species closeness variability (log) is related to the persistence or degree of that species (Bates et al. 2014; Kuznetsova, Bruun Brockhoff, and Haubo Bojesen Christensen 2014). We included random effects for species, as well as site. Because the degree and persistence of pollinators were strongly correlated, (</w:t>
      </w:r>
      <m:oMath>
        <m:r>
          <m:rPr>
            <m:sty m:val="p"/>
          </m:rPr>
          <w:rPr>
            <w:rFonts w:ascii="Cambria Math" w:hAnsi="Cambria Math"/>
          </w:rPr>
          <m:t>ρ=0.84</m:t>
        </m:r>
      </m:oMath>
      <w:r>
        <w:t xml:space="preserve">, </w:t>
      </w:r>
      <m:oMath>
        <m:r>
          <m:rPr>
            <m:sty m:val="p"/>
          </m:rPr>
          <w:rPr>
            <w:rFonts w:ascii="Cambria Math" w:hAnsi="Cambria Math"/>
          </w:rPr>
          <m:t>p</m:t>
        </m:r>
      </m:oMath>
      <w:r>
        <w:t xml:space="preserve">-value </w:t>
      </w:r>
      <m:oMath>
        <m:r>
          <m:rPr>
            <m:sty m:val="p"/>
          </m:rPr>
          <w:rPr>
            <w:rFonts w:ascii="Cambria Math" w:hAnsi="Cambria Math"/>
          </w:rPr>
          <m:t>&lt;</m:t>
        </m:r>
      </m:oMath>
      <w:r>
        <w:t xml:space="preserve">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w:r>
        <w:t>), we include each explanatory variable in the model separately. Plant degree and persistence were not significantly correlated, but we use the same models as we did for the pollinators for consistency</w:t>
      </w:r>
      <w:r w:rsidRPr="004E166D">
        <w:rPr>
          <w:highlight w:val="cyan"/>
          <w:rPrChange w:id="48" w:author="Lauren Ponisio" w:date="2016-10-03T16:37:00Z">
            <w:rPr/>
          </w:rPrChange>
        </w:rPr>
        <w:t xml:space="preserve">. </w:t>
      </w:r>
      <w:commentRangeStart w:id="49"/>
      <w:r w:rsidRPr="004E166D">
        <w:rPr>
          <w:highlight w:val="cyan"/>
          <w:rPrChange w:id="50" w:author="Lauren Ponisio" w:date="2016-10-03T16:37:00Z">
            <w:rPr/>
          </w:rPrChange>
        </w:rPr>
        <w:t xml:space="preserve">A linear increase in closeness, as might be expected with assembly by preferential attachment, </w:t>
      </w:r>
      <w:commentRangeEnd w:id="49"/>
      <w:r w:rsidR="00203BFF" w:rsidRPr="004E166D">
        <w:rPr>
          <w:rStyle w:val="CommentReference"/>
          <w:highlight w:val="cyan"/>
          <w:rPrChange w:id="51" w:author="Lauren Ponisio" w:date="2016-10-03T16:37:00Z">
            <w:rPr>
              <w:rStyle w:val="CommentReference"/>
            </w:rPr>
          </w:rPrChange>
        </w:rPr>
        <w:commentReference w:id="49"/>
      </w:r>
      <w:r w:rsidRPr="004E166D">
        <w:rPr>
          <w:highlight w:val="cyan"/>
          <w:rPrChange w:id="52" w:author="Lauren Ponisio" w:date="2016-10-03T16:37:00Z">
            <w:rPr/>
          </w:rPrChange>
        </w:rPr>
        <w:t xml:space="preserve">would also lead to a high variability in closeness scores, so we test whether closeness increases through </w:t>
      </w:r>
      <w:commentRangeStart w:id="53"/>
      <w:r w:rsidRPr="004E166D">
        <w:rPr>
          <w:highlight w:val="cyan"/>
          <w:rPrChange w:id="54" w:author="Lauren Ponisio" w:date="2016-10-03T16:37:00Z">
            <w:rPr/>
          </w:rPrChange>
        </w:rPr>
        <w:t>time</w:t>
      </w:r>
      <w:commentRangeEnd w:id="53"/>
      <w:r w:rsidR="00C16FBD">
        <w:rPr>
          <w:rStyle w:val="CommentReference"/>
        </w:rPr>
        <w:commentReference w:id="53"/>
      </w:r>
      <w:r w:rsidRPr="004E166D">
        <w:rPr>
          <w:highlight w:val="cyan"/>
          <w:rPrChange w:id="56" w:author="Lauren Ponisio" w:date="2016-10-03T16:37:00Z">
            <w:rPr/>
          </w:rPrChange>
        </w:rPr>
        <w:t>.</w:t>
      </w:r>
    </w:p>
    <w:p w14:paraId="32B09931" w14:textId="3C478695" w:rsidR="00CE7179" w:rsidRDefault="00497D35">
      <w:pPr>
        <w:pStyle w:val="Heading2"/>
      </w:pPr>
      <w:bookmarkStart w:id="57" w:name="species-and-interaction-turnover"/>
      <w:bookmarkEnd w:id="57"/>
      <w:r>
        <w:t>Species and interaction turnover</w:t>
      </w:r>
      <w:ins w:id="58" w:author="Paulo Guimaraes" w:date="2016-09-29T00:17:00Z">
        <w:r w:rsidR="00203BFF">
          <w:t xml:space="preserve"> </w:t>
        </w:r>
      </w:ins>
    </w:p>
    <w:p w14:paraId="3BF1AF56" w14:textId="77777777" w:rsidR="00CE7179" w:rsidRDefault="00497D35">
      <w:r>
        <w:t xml:space="preserve">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 (M’Gonigle et al. 2015). Similarly, if pollinators try to maximize their foraging efficiency based on the species present, interactions may turnover more quickly than in established communities. </w:t>
      </w:r>
      <w:commentRangeStart w:id="59"/>
      <w:r>
        <w:t>In addition, at assembling hedgerows, plants may “colonize” the networks as they become more attractive resources, and establish new interactions with pollinators</w:t>
      </w:r>
      <w:commentRangeEnd w:id="59"/>
      <w:r w:rsidR="00264A7D">
        <w:rPr>
          <w:rStyle w:val="CommentReference"/>
        </w:rPr>
        <w:commentReference w:id="59"/>
      </w:r>
      <w:r>
        <w:t>.</w:t>
      </w:r>
    </w:p>
    <w:p w14:paraId="41E05B78" w14:textId="77777777" w:rsidR="00CE7179" w:rsidRDefault="00497D35">
      <w:r>
        <w:t xml:space="preserve">To estimate the temporal species and interaction turnover, we use an approach similar to calculating spatial </w:t>
      </w:r>
      <m:oMath>
        <m:r>
          <m:rPr>
            <m:sty m:val="p"/>
          </m:rPr>
          <w:rPr>
            <w:rFonts w:ascii="Cambria Math" w:hAnsi="Cambria Math"/>
          </w:rPr>
          <m:t>β</m:t>
        </m:r>
      </m:oMath>
      <w:r>
        <w:t xml:space="preserve">-diversity. Instead of calculating the variation in community composition across sites within a year, however, we estimated turnover across years at a site. We first calculated the pairwise dissimilarity of plants, pollinators and interactions between years within each site using the Chao dissimilarity estimator that incorporates abundances, while also accounting for unobserved records (Chao et al. 2005). Dissimilarity estimates can be affected by </w:t>
      </w:r>
      <w:r>
        <w:lastRenderedPageBreak/>
        <w:t>the total number of species and individuals sampled at a site (e.g., Ponisio, M’Gonigle, and Kremen 2016). For example, the probability that two sites do not share any species is higher when there are few individuals at those sites. Following Ponisio, M’Gonigle, and Kremen (2016),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 (Anderson et al. 2011). In order to test whether assembling hedgerows had more species and interactions turnover than non-assembling communities, the species and interaction temporal turnover estimates were included as response variables in a linear mixed model with site type as an explanatory variable along with site as a random effect (Bates et al. 2014; Kuznetsova, Bruun Brockhoff, and Haubo Bojesen Christensen 2014).</w:t>
      </w:r>
    </w:p>
    <w:p w14:paraId="5721F3A4" w14:textId="2D8E7147" w:rsidR="00CE7179" w:rsidRDefault="00497D35">
      <w:r>
        <w:t>Though species may turnover across years, some groups of species may essentially replace each other if they fill similar roles in the network, ocupying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S1). We develop a method to examine the temporal turnover of interactions with weightings based on their similarity. We followed Ahn, Bagrow, and Lehmann (2010) algorithm to hierarchically cluster all the interactions (edges) across sites and years based on their similarity, and build a dendrogram. The interaction similarity is based how ma</w:t>
      </w:r>
      <w:ins w:id="60" w:author="Paulo Guimaraes" w:date="2016-09-29T00:21:00Z">
        <w:r w:rsidR="00264A7D">
          <w:t>n</w:t>
        </w:r>
      </w:ins>
      <w:r>
        <w:t>y</w:t>
      </w:r>
      <w:ins w:id="61" w:author="Paulo Guimaraes" w:date="2016-09-29T00:21:00Z">
        <w:r w:rsidR="00264A7D">
          <w:t>?</w:t>
        </w:r>
      </w:ins>
      <w:r>
        <w:t xml:space="preserve"> plants and pollinators (vertices) two edges share (Ahn, Bagrow, and Lehmann 2010; Kalinka and Tomancak 2011). The more species edges shared in common, the shorter the branch length between them on the dendrogram. We next calculated the temporal turnover of interactions weighted by their similarity, as approximated by “phylogenetic” distance (Graham and Fine 2008; Kembel et al. 2010). When then use linear models to test whether the weighted turnover of interactions varied between assembling and non-assembling networks (Bates et al. 2014; Kuznetsova, Bruun Brockhoff, and Haubo Bojesen Christensen 2014).</w:t>
      </w:r>
    </w:p>
    <w:p w14:paraId="4C8CCDBE" w14:textId="77777777" w:rsidR="00CE7179" w:rsidRDefault="00497D35">
      <w:pPr>
        <w:pStyle w:val="Heading1"/>
      </w:pPr>
      <w:r>
        <w:t>Temporal changes in interaction patterns</w:t>
      </w:r>
    </w:p>
    <w:p w14:paraId="50BDD2D5" w14:textId="77777777" w:rsidR="00CE7179" w:rsidRDefault="00497D35">
      <w:pPr>
        <w:pStyle w:val="Heading2"/>
      </w:pPr>
      <w:bookmarkStart w:id="62" w:name="network-structure"/>
      <w:bookmarkEnd w:id="62"/>
      <w:r>
        <w:t>Network structure</w:t>
      </w:r>
    </w:p>
    <w:p w14:paraId="1D4E02EF" w14:textId="6AE55D6F" w:rsidR="00CE7179" w:rsidRDefault="00497D35">
      <w:r>
        <w:t xml:space="preserve">Any changing points in network structure may contribute to the reorganization of the assembling networks into predictable interaction patterns. Pollination networks </w:t>
      </w:r>
      <w:ins w:id="63" w:author="Paulo Guimaraes" w:date="2016-09-29T00:21:00Z">
        <w:r w:rsidR="00F37536">
          <w:t xml:space="preserve">often </w:t>
        </w:r>
      </w:ins>
      <w:r>
        <w:t xml:space="preserve">exhibit two main structural patterns — modularity (e.g., Olesen et al. 2007) and nestedness (e.g., Bascompte, Jordano, and Olesen 2006; Bascompte et al. 2003). In modular networks, interactions are insular, occurring within separate groups or “modules” more often than between modules. Modules in the network may fragment as the network assembles, enhancing modularity. Conversely, nested </w:t>
      </w:r>
      <w:r>
        <w:lastRenderedPageBreak/>
        <w:t>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Lastly, the overall level of network specialization may change as the community assembles. Network-level specialization will increase if specialist species colonize the network or species begin to limit their interaction niche breath as the network assembles (Blüthgen, Menzel, and Blüthgen 2006).</w:t>
      </w:r>
    </w:p>
    <w:p w14:paraId="54D33E39" w14:textId="77777777" w:rsidR="00CE7179" w:rsidRDefault="00497D35">
      <w:r>
        <w:t xml:space="preserve">To evaluate network nestedness, we used the estimator weighted NODF (Almeida-Neto et al. 2008). NODF evaluates whether species with fewer partners interact with subsets of partners with which more connected species interact (Almeida-Neto et al. 2008). To estimate modularity, we use a hierarchical clustering algorithm (Newman and Girvan 2004; Csardi and Nepusz 2006). We calculated standardized </w:t>
      </w:r>
      <m:oMath>
        <m:r>
          <m:rPr>
            <m:sty m:val="p"/>
          </m:rPr>
          <w:rPr>
            <w:rFonts w:ascii="Cambria Math" w:hAnsi="Cambria Math"/>
          </w:rPr>
          <m:t>z</m:t>
        </m:r>
      </m:oMath>
      <w:r>
        <w:t xml:space="preserve">-scores so that nestedness and modularity metrics could be compared across communities. The </w:t>
      </w:r>
      <m:oMath>
        <m:r>
          <m:rPr>
            <m:sty m:val="p"/>
          </m:rPr>
          <w:rPr>
            <w:rFonts w:ascii="Cambria Math" w:hAnsi="Cambria Math"/>
          </w:rPr>
          <m:t>z</m:t>
        </m:r>
      </m:oMath>
      <w:r>
        <w:t xml:space="preserve">-scores were calculated by generating an ensemble of </w:t>
      </w:r>
      <m:oMath>
        <m:r>
          <m:rPr>
            <m:sty m:val="p"/>
          </m:rPr>
          <w:rPr>
            <w:rFonts w:ascii="Cambria Math" w:hAnsi="Cambria Math"/>
          </w:rPr>
          <m:t>999</m:t>
        </m:r>
      </m:oMath>
      <w:r>
        <w:t xml:space="preserve"> randomly assembled communities, subtracting the mean of the statistic calculated across these communities from the observed value, and then dividing by the standard deviation. To assemble random communities, we reshuffled the interactions between species but fixed the total number of interactions, species and interaction frequency distributions (Galeano, Pastor, and Iriondo 2009). We evaluate network specialization with the metric H2, which estimates the deviation of the observed interaction frequency between plants and pollinators from a null expectation where all partners interact in proportion to their abundances (Blüthgen, Menzel, and Blüthgen 2006). It ranges from zero for generalized networks to one for specialized networks.</w:t>
      </w:r>
    </w:p>
    <w:p w14:paraId="470701C6" w14:textId="77777777" w:rsidR="00CE7179" w:rsidRDefault="00497D35">
      <w:r>
        <w:t>To test whether network modularity, nestedness, connectance or specialization changed linearly with assembly, we use linear mixed models with the descriptive network metrics as the response variable, year of assembly as the explanatory variable, and random effects of site and year. The number of species in a network affects affects the patterns of interaction possible, so we also examined the change in plant and pollinator species richness through time. We employ generalized linear mixed models with Poisson error to model richness. We scaled explanatory variables.</w:t>
      </w:r>
    </w:p>
    <w:p w14:paraId="72DBE670" w14:textId="77777777" w:rsidR="00CE7179" w:rsidRDefault="00497D35">
      <w:pPr>
        <w:pStyle w:val="Heading2"/>
      </w:pPr>
      <w:bookmarkStart w:id="64" w:name="network-robustness"/>
      <w:bookmarkEnd w:id="64"/>
      <w:r>
        <w:t>Network robustness</w:t>
      </w:r>
    </w:p>
    <w:p w14:paraId="79244AE6" w14:textId="77777777" w:rsidR="00CE7179" w:rsidRDefault="00497D35">
      <w:r>
        <w:t xml:space="preserve">Lastly, we test whether the changes in interaction patterns associated with network assembly affect the robustness of the network to species loss and to cascading perturbations. Following Memmott, Waser, and Price (2004), we simulate plant species extinction and the subsequent extinction cascades of pollinator species. Because the reproduction of plant species if facilitated by active restoration efforts, it is unlikely the extinction of pollinator species would affect plant populations in </w:t>
      </w:r>
      <w:r>
        <w:lastRenderedPageBreak/>
        <w:t>the hedgerows. However, plants ceasing to bloom, for example in response to drought, will likely affect the pollinators that depend on them. We eliminate plants species based on their degree or abundance, and then calculate the number of pollinators that secondarily went extinct. The area below the extinction curve is an estimate of network robustness (Memmott, Waser, and Price 2004; Dormann, Gruber, and Fründ 2008).</w:t>
      </w:r>
    </w:p>
    <w:p w14:paraId="005A4F45" w14:textId="414FED27" w:rsidR="00CE7179" w:rsidRDefault="00497D35">
      <w:r>
        <w:t>We also explored how the robustness to cascading perturbations changed as community assembled, using algebraic connectivity — the second smallest eigenvalue of the Laplacian matrix (Fiedler 1973) — as a proxy for network robustness (Gaiarsa et al., submitted). Algebraic connectivity relates to how difficult it is to turn a network into completely disconnected groups of species (Costa et al. 2007)</w:t>
      </w:r>
      <w:ins w:id="65" w:author="Paulo Guimaraes" w:date="2016-09-29T00:26:00Z">
        <w:r w:rsidR="00F25655">
          <w:t xml:space="preserve"> and have implications to </w:t>
        </w:r>
      </w:ins>
      <w:ins w:id="66" w:author="Paulo Guimaraes" w:date="2016-09-29T00:27:00Z">
        <w:r w:rsidR="00F25655">
          <w:t xml:space="preserve">how integrated is the dynamics of the elements of </w:t>
        </w:r>
        <w:commentRangeStart w:id="67"/>
        <w:r w:rsidR="00F25655">
          <w:t>the networks (Gilbert et al. 2013 AmNat)</w:t>
        </w:r>
      </w:ins>
      <w:r>
        <w:t xml:space="preserve">. The larger the algebraic connectivity, </w:t>
      </w:r>
      <w:del w:id="68" w:author="Paulo Guimaraes" w:date="2016-09-29T00:28:00Z">
        <w:r w:rsidDel="00624154">
          <w:delText xml:space="preserve">the more robust a network is to cascading perturbations, and </w:delText>
        </w:r>
      </w:del>
      <w:r>
        <w:t>the harder it is to break the community into isolated groups of species (Gaiarsa et al., submitted).</w:t>
      </w:r>
      <w:commentRangeEnd w:id="67"/>
      <w:r w:rsidR="00644DA7">
        <w:rPr>
          <w:rStyle w:val="CommentReference"/>
        </w:rPr>
        <w:commentReference w:id="67"/>
      </w:r>
    </w:p>
    <w:p w14:paraId="239FCB55" w14:textId="77777777" w:rsidR="00CE7179" w:rsidRDefault="00497D35">
      <w:pPr>
        <w:pStyle w:val="Heading1"/>
      </w:pPr>
      <w:bookmarkStart w:id="69" w:name="sec:results"/>
      <w:bookmarkEnd w:id="69"/>
      <w:r>
        <w:t>Results</w:t>
      </w:r>
    </w:p>
    <w:p w14:paraId="44483760" w14:textId="77777777" w:rsidR="00CE7179" w:rsidRDefault="00497D35">
      <w:r>
        <w:t xml:space="preserve">Over eight years and </w:t>
      </w:r>
      <m:oMath>
        <m:r>
          <m:rPr>
            <m:sty m:val="p"/>
          </m:rPr>
          <w:rPr>
            <w:rFonts w:ascii="Cambria Math" w:hAnsi="Cambria Math"/>
          </w:rPr>
          <m:t>747</m:t>
        </m:r>
      </m:oMath>
      <w:r>
        <w:t xml:space="preserve"> samples, we collected and identified </w:t>
      </w:r>
      <m:oMath>
        <m:r>
          <m:rPr>
            <m:sty m:val="p"/>
          </m:rPr>
          <w:rPr>
            <w:rFonts w:ascii="Cambria Math" w:hAnsi="Cambria Math"/>
          </w:rPr>
          <m:t>19,547</m:t>
        </m:r>
      </m:oMath>
      <w:r>
        <w:t xml:space="preserve"> wild bees and syrphids comprising </w:t>
      </w:r>
      <m:oMath>
        <m:r>
          <m:rPr>
            <m:sty m:val="p"/>
          </m:rPr>
          <w:rPr>
            <w:rFonts w:ascii="Cambria Math" w:hAnsi="Cambria Math"/>
          </w:rPr>
          <m:t>173</m:t>
        </m:r>
      </m:oMath>
      <w:r>
        <w:t xml:space="preserve"> species from </w:t>
      </w:r>
      <m:oMath>
        <m:r>
          <m:rPr>
            <m:sty m:val="p"/>
          </m:rPr>
          <w:rPr>
            <w:rFonts w:ascii="Cambria Math" w:hAnsi="Cambria Math"/>
          </w:rPr>
          <m:t>50</m:t>
        </m:r>
      </m:oMath>
      <w:r>
        <w:t xml:space="preserve"> genera. We observed </w:t>
      </w:r>
      <m:oMath>
        <m:r>
          <m:rPr>
            <m:sty m:val="p"/>
          </m:rPr>
          <w:rPr>
            <w:rFonts w:ascii="Cambria Math" w:hAnsi="Cambria Math"/>
          </w:rPr>
          <m:t>1,521</m:t>
        </m:r>
      </m:oMath>
      <w:r>
        <w:t xml:space="preserve"> unique interactions between plants and pollinators.</w:t>
      </w:r>
    </w:p>
    <w:p w14:paraId="21812848" w14:textId="77777777" w:rsidR="00CE7179" w:rsidRDefault="00497D35">
      <w:pPr>
        <w:pStyle w:val="Heading2"/>
      </w:pPr>
      <w:bookmarkStart w:id="70" w:name="change-point-analysis-1"/>
      <w:bookmarkEnd w:id="70"/>
      <w:r>
        <w:t>Change point analysis</w:t>
      </w:r>
    </w:p>
    <w:p w14:paraId="72F313CA" w14:textId="77777777" w:rsidR="00CE7179" w:rsidRDefault="00497D35">
      <w:pPr>
        <w:pStyle w:val="Heading3"/>
      </w:pPr>
      <w:bookmarkStart w:id="71" w:name="identifying-change-points-1"/>
      <w:bookmarkEnd w:id="71"/>
      <w:r>
        <w:t>Identifying change points</w:t>
      </w:r>
    </w:p>
    <w:p w14:paraId="724B3114" w14:textId="77777777" w:rsidR="00CE7179" w:rsidRDefault="00497D35">
      <w:r>
        <w:t>The majority (</w:t>
      </w:r>
      <m:oMath>
        <m:r>
          <m:rPr>
            <m:sty m:val="p"/>
          </m:rPr>
          <w:rPr>
            <w:rFonts w:ascii="Cambria Math" w:hAnsi="Cambria Math"/>
          </w:rPr>
          <m:t>76%</m:t>
        </m:r>
      </m:oMath>
      <w:r>
        <w:t xml:space="preserve">) of the sites underwent at least one significant interaction reorganization (Fig. [fig:changePoints], [fig:changePoints2]). All five of the assembling hedgerows experienced network changing points, whereas only </w:t>
      </w:r>
      <m:oMath>
        <m:r>
          <m:rPr>
            <m:sty m:val="p"/>
          </m:rPr>
          <w:rPr>
            <w:rFonts w:ascii="Cambria Math" w:hAnsi="Cambria Math"/>
          </w:rPr>
          <m:t>40%</m:t>
        </m:r>
      </m:oMath>
      <w:r>
        <w:t xml:space="preserve"> and </w:t>
      </w:r>
      <m:oMath>
        <m:r>
          <m:rPr>
            <m:sty m:val="p"/>
          </m:rPr>
          <w:rPr>
            <w:rFonts w:ascii="Cambria Math" w:hAnsi="Cambria Math"/>
          </w:rPr>
          <m:t>81%</m:t>
        </m:r>
      </m:oMath>
      <w:r>
        <w:t xml:space="preserve"> 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 </w:t>
      </w:r>
      <m:oMath>
        <m:r>
          <m:rPr>
            <m:sty m:val="p"/>
          </m:rPr>
          <w:rPr>
            <w:rFonts w:ascii="Cambria Math" w:hAnsi="Cambria Math"/>
          </w:rPr>
          <m:t>3.316</m:t>
        </m:r>
      </m:oMath>
      <w:r>
        <w:t xml:space="preserve">, </w:t>
      </w:r>
      <m:oMath>
        <m:r>
          <m:rPr>
            <m:sty m:val="p"/>
          </m:rPr>
          <w:rPr>
            <w:rFonts w:ascii="Cambria Math" w:hAnsi="Cambria Math"/>
          </w:rPr>
          <m:t>95%</m:t>
        </m:r>
      </m:oMath>
      <w:r>
        <w:t xml:space="preserve"> CI </w:t>
      </w:r>
      <m:oMath>
        <m:r>
          <m:rPr>
            <m:sty m:val="p"/>
          </m:rPr>
          <w:rPr>
            <w:rFonts w:ascii="Cambria Math" w:hAnsi="Cambria Math"/>
          </w:rPr>
          <m:t>[1.314,8.572]</m:t>
        </m:r>
      </m:oMath>
      <w:r>
        <w:t xml:space="preserve">, </w:t>
      </w:r>
      <m:oMath>
        <m:r>
          <m:rPr>
            <m:sty m:val="p"/>
          </m:rPr>
          <w:rPr>
            <w:rFonts w:ascii="Cambria Math" w:hAnsi="Cambria Math"/>
          </w:rPr>
          <m:t>p</m:t>
        </m:r>
      </m:oMath>
      <w:r>
        <w:t xml:space="preserve">-value= </w:t>
      </w:r>
      <m:oMath>
        <m:r>
          <m:rPr>
            <m:sty m:val="p"/>
          </m:rPr>
          <w:rPr>
            <w:rFonts w:ascii="Cambria Math" w:hAnsi="Cambria Math"/>
          </w:rPr>
          <m:t>0.0117</m:t>
        </m:r>
      </m:oMath>
      <w:r>
        <w:t>). Network assembly following restoration is thus punctuated by more interaction reorganizations than would be expected by environmental shifts alone that would effect assembling and non-assembling networks equally.</w:t>
      </w:r>
    </w:p>
    <w:p w14:paraId="49A6C07B" w14:textId="77777777" w:rsidR="00CE7179" w:rsidRDefault="00497D35">
      <w:pPr>
        <w:pStyle w:val="Heading3"/>
      </w:pPr>
      <w:bookmarkStart w:id="72" w:name="characteristics-of-species-that-contribu"/>
      <w:bookmarkEnd w:id="72"/>
      <w:r>
        <w:t>Characteristics of species that contribute to change points</w:t>
      </w:r>
    </w:p>
    <w:p w14:paraId="1D32FE09" w14:textId="77777777" w:rsidR="00CE7179" w:rsidRDefault="00497D35">
      <w:r>
        <w:t xml:space="preserve">In contradiction to the predictions of assembly by preferential attachment, both pollinator persistence and degree were positively related to network position variability (Fig. [fig:cv], estimate of the slope of closeness variability and persistence </w:t>
      </w:r>
      <m:oMath>
        <m:r>
          <m:rPr>
            <m:sty m:val="p"/>
          </m:rPr>
          <w:rPr>
            <w:rFonts w:ascii="Cambria Math" w:hAnsi="Cambria Math"/>
          </w:rPr>
          <m:t>±</m:t>
        </m:r>
      </m:oMath>
      <w:r>
        <w:t xml:space="preserve"> standard error of the estimate, </w:t>
      </w:r>
      <m:oMath>
        <m:r>
          <m:rPr>
            <m:sty m:val="p"/>
          </m:rPr>
          <w:rPr>
            <w:rFonts w:ascii="Cambria Math" w:hAnsi="Cambria Math"/>
          </w:rPr>
          <m:t>0.653±0.225</m:t>
        </m:r>
      </m:oMath>
      <w:r>
        <w:t xml:space="preserve">, </w:t>
      </w:r>
      <m:oMath>
        <m:r>
          <m:rPr>
            <m:sty m:val="p"/>
          </m:rPr>
          <w:rPr>
            <w:rFonts w:ascii="Cambria Math" w:hAnsi="Cambria Math"/>
          </w:rPr>
          <m:t>p</m:t>
        </m:r>
      </m:oMath>
      <w:r>
        <w:t>-value=</w:t>
      </w:r>
      <m:oMath>
        <m:r>
          <m:rPr>
            <m:sty m:val="p"/>
          </m:rPr>
          <w:rPr>
            <w:rFonts w:ascii="Cambria Math" w:hAnsi="Cambria Math"/>
          </w:rPr>
          <m:t>0.009</m:t>
        </m:r>
      </m:oMath>
      <w:r>
        <w:t xml:space="preserve">; slope of closeness variability and degree, </w:t>
      </w:r>
      <m:oMath>
        <m:r>
          <m:rPr>
            <m:sty m:val="p"/>
          </m:rPr>
          <w:rPr>
            <w:rFonts w:ascii="Cambria Math" w:hAnsi="Cambria Math"/>
          </w:rPr>
          <m:t>0.008±0.002</m:t>
        </m:r>
      </m:oMath>
      <w:r>
        <w:t xml:space="preserve">, </w:t>
      </w:r>
      <m:oMath>
        <m:r>
          <m:rPr>
            <m:sty m:val="p"/>
          </m:rPr>
          <w:rPr>
            <w:rFonts w:ascii="Cambria Math" w:hAnsi="Cambria Math"/>
          </w:rPr>
          <m:t>p</m:t>
        </m:r>
      </m:oMath>
      <w:r>
        <w:t>-value=</w:t>
      </w:r>
      <m:oMath>
        <m:r>
          <m:rPr>
            <m:sty m:val="p"/>
          </m:rPr>
          <w:rPr>
            <w:rFonts w:ascii="Cambria Math" w:hAnsi="Cambria Math"/>
          </w:rPr>
          <m:t>0.002</m:t>
        </m:r>
      </m:oMath>
      <w:r>
        <w:t xml:space="preserve">). In addition, plant persistence </w:t>
      </w:r>
      <w:r>
        <w:lastRenderedPageBreak/>
        <w:t xml:space="preserve">and degree were not significantly related to network position variability (Fig. [fig:cv], estimate of the slope of closeness variability and persistence </w:t>
      </w:r>
      <m:oMath>
        <m:r>
          <m:rPr>
            <m:sty m:val="p"/>
          </m:rPr>
          <w:rPr>
            <w:rFonts w:ascii="Cambria Math" w:hAnsi="Cambria Math"/>
          </w:rPr>
          <m:t>±</m:t>
        </m:r>
      </m:oMath>
      <w:r>
        <w:t xml:space="preserve"> SE, </w:t>
      </w:r>
      <m:oMath>
        <m:r>
          <m:rPr>
            <m:sty m:val="p"/>
          </m:rPr>
          <w:rPr>
            <w:rFonts w:ascii="Cambria Math" w:hAnsi="Cambria Math"/>
          </w:rPr>
          <m:t>-2.063±3.091</m:t>
        </m:r>
      </m:oMath>
      <w:r>
        <w:t xml:space="preserve">, </w:t>
      </w:r>
      <m:oMath>
        <m:r>
          <m:rPr>
            <m:sty m:val="p"/>
          </m:rPr>
          <w:rPr>
            <w:rFonts w:ascii="Cambria Math" w:hAnsi="Cambria Math"/>
          </w:rPr>
          <m:t>p</m:t>
        </m:r>
      </m:oMath>
      <w:r>
        <w:t>-value=</w:t>
      </w:r>
      <m:oMath>
        <m:r>
          <m:rPr>
            <m:sty m:val="p"/>
          </m:rPr>
          <w:rPr>
            <w:rFonts w:ascii="Cambria Math" w:hAnsi="Cambria Math"/>
          </w:rPr>
          <m:t>0.5</m:t>
        </m:r>
      </m:oMath>
      <w:r>
        <w:t xml:space="preserve">; slope of closeness variability and degree, </w:t>
      </w:r>
      <m:oMath>
        <m:r>
          <m:rPr>
            <m:sty m:val="p"/>
          </m:rPr>
          <w:rPr>
            <w:rFonts w:ascii="Cambria Math" w:hAnsi="Cambria Math"/>
          </w:rPr>
          <m:t>0.0018±0.002</m:t>
        </m:r>
      </m:oMath>
      <w:r>
        <w:t xml:space="preserve">, </w:t>
      </w:r>
      <m:oMath>
        <m:r>
          <m:rPr>
            <m:sty m:val="p"/>
          </m:rPr>
          <w:rPr>
            <w:rFonts w:ascii="Cambria Math" w:hAnsi="Cambria Math"/>
          </w:rPr>
          <m:t>p</m:t>
        </m:r>
      </m:oMath>
      <w:r>
        <w:t>-value=</w:t>
      </w:r>
      <m:oMath>
        <m:r>
          <m:rPr>
            <m:sty m:val="p"/>
          </m:rPr>
          <w:rPr>
            <w:rFonts w:ascii="Cambria Math" w:hAnsi="Cambria Math"/>
          </w:rPr>
          <m:t>0.3</m:t>
        </m:r>
      </m:oMath>
      <w:r>
        <w:t xml:space="preserve">). The variability of species network position was not the result of closeness linearly increasing through time, and, in fact, plant and pollinator closeness decreased slightly through time (Fig. S2, estimate of the slope of closeness through time </w:t>
      </w:r>
      <m:oMath>
        <m:r>
          <m:rPr>
            <m:sty m:val="p"/>
          </m:rPr>
          <w:rPr>
            <w:rFonts w:ascii="Cambria Math" w:hAnsi="Cambria Math"/>
          </w:rPr>
          <m:t>±</m:t>
        </m:r>
      </m:oMath>
      <w:r>
        <w:t xml:space="preserve"> SE, pollinators: </w:t>
      </w:r>
      <m:oMath>
        <m:r>
          <m:rPr>
            <m:sty m:val="p"/>
          </m:rPr>
          <w:rPr>
            <w:rFonts w:ascii="Cambria Math" w:hAnsi="Cambria Math"/>
          </w:rPr>
          <m:t>-0.0003±0.00005</m:t>
        </m:r>
      </m:oMath>
      <w:r>
        <w:t xml:space="preserve">, </w:t>
      </w:r>
      <m:oMath>
        <m:r>
          <m:rPr>
            <m:sty m:val="p"/>
          </m:rPr>
          <w:rPr>
            <w:rFonts w:ascii="Cambria Math" w:hAnsi="Cambria Math"/>
          </w:rPr>
          <m:t>p</m:t>
        </m:r>
      </m:oMath>
      <w:r>
        <w:t>-value=</w:t>
      </w:r>
      <m:oMath>
        <m:r>
          <m:rPr>
            <m:sty m:val="p"/>
          </m:rPr>
          <w:rPr>
            <w:rFonts w:ascii="Cambria Math" w:hAnsi="Cambria Math"/>
          </w:rPr>
          <m:t>2.7*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t xml:space="preserve">; plants </w:t>
      </w:r>
      <m:oMath>
        <m:r>
          <m:rPr>
            <m:sty m:val="p"/>
          </m:rPr>
          <w:rPr>
            <w:rFonts w:ascii="Cambria Math" w:hAnsi="Cambria Math"/>
          </w:rPr>
          <m:t>-0.007±0.001</m:t>
        </m:r>
      </m:oMath>
      <w:r>
        <w:t xml:space="preserve">, </w:t>
      </w:r>
      <m:oMath>
        <m:r>
          <m:rPr>
            <m:sty m:val="p"/>
          </m:rPr>
          <w:rPr>
            <w:rFonts w:ascii="Cambria Math" w:hAnsi="Cambria Math"/>
          </w:rPr>
          <m:t>p</m:t>
        </m:r>
      </m:oMath>
      <w:r>
        <w:t>-value=</w:t>
      </w:r>
      <m:oMath>
        <m:r>
          <m:rPr>
            <m:sty m:val="p"/>
          </m:rPr>
          <w:rPr>
            <w:rFonts w:ascii="Cambria Math" w:hAnsi="Cambria Math"/>
          </w:rPr>
          <m:t>1.4*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t>). Through statistically significant, the slopes are so slight they may not be biologically significant.</w:t>
      </w:r>
    </w:p>
    <w:p w14:paraId="48486075" w14:textId="77777777" w:rsidR="00CE7179" w:rsidRDefault="00497D35">
      <w:pPr>
        <w:pStyle w:val="Heading2"/>
      </w:pPr>
      <w:bookmarkStart w:id="73" w:name="species-and-interaction-turnover-1"/>
      <w:bookmarkEnd w:id="73"/>
      <w:r>
        <w:t>Species and interaction turnover</w:t>
      </w:r>
    </w:p>
    <w:p w14:paraId="1BA94365" w14:textId="77777777" w:rsidR="00CE7179" w:rsidRDefault="00497D35">
      <w:r>
        <w:t xml:space="preserve">The rates of plant, pollinator and interaction temporal turnover were similar across assembling hedgerows, non-assembling hedgerows and field margins, though mature hedgerows has marginally significantly less pollinator turnover than field margins (Fig. [fig:beta], estimate </w:t>
      </w:r>
      <m:oMath>
        <m:r>
          <m:rPr>
            <m:sty m:val="p"/>
          </m:rPr>
          <w:rPr>
            <w:rFonts w:ascii="Cambria Math" w:hAnsi="Cambria Math"/>
          </w:rPr>
          <m:t>±</m:t>
        </m:r>
      </m:oMath>
      <w:r>
        <w:t xml:space="preserve"> SE of the difference in turnover between field margins and mature hedgerows, </w:t>
      </w:r>
      <m:oMath>
        <m:r>
          <m:rPr>
            <m:sty m:val="p"/>
          </m:rPr>
          <w:rPr>
            <w:rFonts w:ascii="Cambria Math" w:hAnsi="Cambria Math"/>
          </w:rPr>
          <m:t>-0.0498±0.026</m:t>
        </m:r>
      </m:oMath>
      <w:r>
        <w:t xml:space="preserve">, </w:t>
      </w:r>
      <m:oMath>
        <m:r>
          <m:rPr>
            <m:sty m:val="p"/>
          </m:rPr>
          <w:rPr>
            <w:rFonts w:ascii="Cambria Math" w:hAnsi="Cambria Math"/>
          </w:rPr>
          <m:t>p</m:t>
        </m:r>
      </m:oMath>
      <w:r>
        <w:t>-value=</w:t>
      </w:r>
      <m:oMath>
        <m:r>
          <m:rPr>
            <m:sty m:val="p"/>
          </m:rPr>
          <w:rPr>
            <w:rFonts w:ascii="Cambria Math" w:hAnsi="Cambria Math"/>
          </w:rPr>
          <m:t>0.058</m:t>
        </m:r>
      </m:oMath>
      <w:r>
        <w:t xml:space="preserve">). When interactions where weighted by their similarity, both assembling and mature hedgerows had higher rates of turnover than field margins (Fig. [fig:beta], estimate </w:t>
      </w:r>
      <m:oMath>
        <m:r>
          <m:rPr>
            <m:sty m:val="p"/>
          </m:rPr>
          <w:rPr>
            <w:rFonts w:ascii="Cambria Math" w:hAnsi="Cambria Math"/>
          </w:rPr>
          <m:t>±</m:t>
        </m:r>
      </m:oMath>
      <w:r>
        <w:t xml:space="preserve"> SE of the difference in turnover between field margins and assembling hedgerows, </w:t>
      </w:r>
      <m:oMath>
        <m:r>
          <m:rPr>
            <m:sty m:val="p"/>
          </m:rPr>
          <w:rPr>
            <w:rFonts w:ascii="Cambria Math" w:hAnsi="Cambria Math"/>
          </w:rPr>
          <m:t>0.115±0.027</m:t>
        </m:r>
      </m:oMath>
      <w:r>
        <w:t xml:space="preserve">, </w:t>
      </w:r>
      <m:oMath>
        <m:r>
          <m:rPr>
            <m:sty m:val="p"/>
          </m:rPr>
          <w:rPr>
            <w:rFonts w:ascii="Cambria Math" w:hAnsi="Cambria Math"/>
          </w:rPr>
          <m:t>p</m:t>
        </m:r>
      </m:oMath>
      <w:r>
        <w:t>-value=</w:t>
      </w:r>
      <m:oMath>
        <m:r>
          <m:rPr>
            <m:sty m:val="p"/>
          </m:rPr>
          <w:rPr>
            <w:rFonts w:ascii="Cambria Math" w:hAnsi="Cambria Math"/>
          </w:rPr>
          <m:t>0.0002</m:t>
        </m:r>
      </m:oMath>
      <w:r>
        <w:t xml:space="preserve">; field margins and mature hedgerows, </w:t>
      </w:r>
      <m:oMath>
        <m:r>
          <m:rPr>
            <m:sty m:val="p"/>
          </m:rPr>
          <w:rPr>
            <w:rFonts w:ascii="Cambria Math" w:hAnsi="Cambria Math"/>
          </w:rPr>
          <m:t>0.082±0.024</m:t>
        </m:r>
      </m:oMath>
      <w:r>
        <w:t xml:space="preserve">, </w:t>
      </w:r>
      <m:oMath>
        <m:r>
          <m:rPr>
            <m:sty m:val="p"/>
          </m:rPr>
          <w:rPr>
            <w:rFonts w:ascii="Cambria Math" w:hAnsi="Cambria Math"/>
          </w:rPr>
          <m:t>p</m:t>
        </m:r>
      </m:oMath>
      <w:r>
        <w:t>-value=</w:t>
      </w:r>
      <m:oMath>
        <m:r>
          <m:rPr>
            <m:sty m:val="p"/>
          </m:rPr>
          <w:rPr>
            <w:rFonts w:ascii="Cambria Math" w:hAnsi="Cambria Math"/>
          </w:rPr>
          <m:t>0.002</m:t>
        </m:r>
      </m:oMath>
      <w:r>
        <w:t>). The weighted interaction turnover at assembling hedgerows, however, was not significantly higher than in non-assembling, mature hedgerows.</w:t>
      </w:r>
    </w:p>
    <w:p w14:paraId="478B39D4" w14:textId="77777777" w:rsidR="00CE7179" w:rsidRDefault="00497D35">
      <w:pPr>
        <w:pStyle w:val="Heading1"/>
      </w:pPr>
      <w:bookmarkStart w:id="74" w:name="temporal-changes-in-interaction-patterns"/>
      <w:bookmarkEnd w:id="74"/>
      <w:r>
        <w:t>Temporal changes in interaction patterns</w:t>
      </w:r>
    </w:p>
    <w:p w14:paraId="43366670" w14:textId="77777777" w:rsidR="00CE7179" w:rsidRDefault="00497D35">
      <w:pPr>
        <w:pStyle w:val="Heading2"/>
      </w:pPr>
      <w:bookmarkStart w:id="75" w:name="network-structure-1"/>
      <w:bookmarkEnd w:id="75"/>
      <w:r>
        <w:t>Network structure</w:t>
      </w:r>
    </w:p>
    <w:p w14:paraId="1904AA29" w14:textId="77777777" w:rsidR="00CE7179" w:rsidRDefault="00497D35">
      <w:r>
        <w:t xml:space="preserve">Network nestedness significantly increased with assembly (Fig. [fig:baci], estimate of the slope of nestedness through time </w:t>
      </w:r>
      <m:oMath>
        <m:r>
          <m:rPr>
            <m:sty m:val="p"/>
          </m:rPr>
          <w:rPr>
            <w:rFonts w:ascii="Cambria Math" w:hAnsi="Cambria Math"/>
          </w:rPr>
          <m:t>±</m:t>
        </m:r>
      </m:oMath>
      <w:r>
        <w:t xml:space="preserve"> SE, </w:t>
      </w:r>
      <m:oMath>
        <m:r>
          <m:rPr>
            <m:sty m:val="p"/>
          </m:rPr>
          <w:rPr>
            <w:rFonts w:ascii="Cambria Math" w:hAnsi="Cambria Math"/>
          </w:rPr>
          <m:t>1.834±0.6142</m:t>
        </m:r>
      </m:oMath>
      <w:r>
        <w:t xml:space="preserve">, </w:t>
      </w:r>
      <m:oMath>
        <m:r>
          <m:rPr>
            <m:sty m:val="p"/>
          </m:rPr>
          <w:rPr>
            <w:rFonts w:ascii="Cambria Math" w:hAnsi="Cambria Math"/>
          </w:rPr>
          <m:t>p</m:t>
        </m:r>
      </m:oMath>
      <w:r>
        <w:t>-value=</w:t>
      </w:r>
      <m:oMath>
        <m:r>
          <m:rPr>
            <m:sty m:val="p"/>
          </m:rPr>
          <w:rPr>
            <w:rFonts w:ascii="Cambria Math" w:hAnsi="Cambria Math"/>
          </w:rPr>
          <m:t>0.022</m:t>
        </m:r>
      </m:oMath>
      <w:r>
        <w:t xml:space="preserve">). Modularity decreased (Fig. [fig:baci]), </w:t>
      </w:r>
      <w:commentRangeStart w:id="76"/>
      <w:r>
        <w:t xml:space="preserve">though the slope was not significantly different from zero (estimate of the slope of modularity through time </w:t>
      </w:r>
      <m:oMath>
        <m:r>
          <m:rPr>
            <m:sty m:val="p"/>
          </m:rPr>
          <w:rPr>
            <w:rFonts w:ascii="Cambria Math" w:hAnsi="Cambria Math"/>
          </w:rPr>
          <m:t>±</m:t>
        </m:r>
      </m:oMath>
      <w:r>
        <w:t xml:space="preserve"> standard error of the estimate, </w:t>
      </w:r>
      <m:oMath>
        <m:r>
          <m:rPr>
            <m:sty m:val="p"/>
          </m:rPr>
          <w:rPr>
            <w:rFonts w:ascii="Cambria Math" w:hAnsi="Cambria Math"/>
          </w:rPr>
          <m:t>-0.524</m:t>
        </m:r>
      </m:oMath>
      <w:r>
        <w:t xml:space="preserve"> </w:t>
      </w:r>
      <m:oMath>
        <m:r>
          <m:rPr>
            <m:sty m:val="p"/>
          </m:rPr>
          <w:rPr>
            <w:rFonts w:ascii="Cambria Math" w:hAnsi="Cambria Math"/>
          </w:rPr>
          <m:t>±</m:t>
        </m:r>
      </m:oMath>
      <w:r>
        <w:t xml:space="preserve"> </w:t>
      </w:r>
      <m:oMath>
        <m:r>
          <m:rPr>
            <m:sty m:val="p"/>
          </m:rPr>
          <w:rPr>
            <w:rFonts w:ascii="Cambria Math" w:hAnsi="Cambria Math"/>
          </w:rPr>
          <m:t>0.295</m:t>
        </m:r>
      </m:oMath>
      <w:r>
        <w:t xml:space="preserve">, </w:t>
      </w:r>
      <m:oMath>
        <m:r>
          <m:rPr>
            <m:sty m:val="p"/>
          </m:rPr>
          <w:rPr>
            <w:rFonts w:ascii="Cambria Math" w:hAnsi="Cambria Math"/>
          </w:rPr>
          <m:t>p</m:t>
        </m:r>
      </m:oMath>
      <w:r>
        <w:t>-value=</w:t>
      </w:r>
      <m:oMath>
        <m:r>
          <m:rPr>
            <m:sty m:val="p"/>
          </m:rPr>
          <w:rPr>
            <w:rFonts w:ascii="Cambria Math" w:hAnsi="Cambria Math"/>
          </w:rPr>
          <m:t>0.124</m:t>
        </m:r>
      </m:oMath>
      <w:r>
        <w:t xml:space="preserve">). </w:t>
      </w:r>
      <w:commentRangeEnd w:id="76"/>
      <w:r w:rsidR="00ED72CC">
        <w:rPr>
          <w:rStyle w:val="CommentReference"/>
        </w:rPr>
        <w:commentReference w:id="76"/>
      </w:r>
      <w:r>
        <w:t xml:space="preserve">Connectance decreased as the community assembled (Fig. [fig:baci], estimate of the slope of connectance through time </w:t>
      </w:r>
      <m:oMath>
        <m:r>
          <m:rPr>
            <m:sty m:val="p"/>
          </m:rPr>
          <w:rPr>
            <w:rFonts w:ascii="Cambria Math" w:hAnsi="Cambria Math"/>
          </w:rPr>
          <m:t>±</m:t>
        </m:r>
      </m:oMath>
      <w:r>
        <w:t xml:space="preserve"> standard error of the estimate, </w:t>
      </w:r>
      <m:oMath>
        <m:r>
          <m:rPr>
            <m:sty m:val="p"/>
          </m:rPr>
          <w:rPr>
            <w:rFonts w:ascii="Cambria Math" w:hAnsi="Cambria Math"/>
          </w:rPr>
          <m:t>-0.0434</m:t>
        </m:r>
      </m:oMath>
      <w:r>
        <w:t xml:space="preserve"> </w:t>
      </w:r>
      <m:oMath>
        <m:r>
          <m:rPr>
            <m:sty m:val="p"/>
          </m:rPr>
          <w:rPr>
            <w:rFonts w:ascii="Cambria Math" w:hAnsi="Cambria Math"/>
          </w:rPr>
          <m:t>±</m:t>
        </m:r>
      </m:oMath>
      <w:r>
        <w:t xml:space="preserve"> </w:t>
      </w:r>
      <m:oMath>
        <m:r>
          <m:rPr>
            <m:sty m:val="p"/>
          </m:rPr>
          <w:rPr>
            <w:rFonts w:ascii="Cambria Math" w:hAnsi="Cambria Math"/>
          </w:rPr>
          <m:t>0.0152</m:t>
        </m:r>
      </m:oMath>
      <w:r>
        <w:t xml:space="preserve">, </w:t>
      </w:r>
      <m:oMath>
        <m:r>
          <m:rPr>
            <m:sty m:val="p"/>
          </m:rPr>
          <w:rPr>
            <w:rFonts w:ascii="Cambria Math" w:hAnsi="Cambria Math"/>
          </w:rPr>
          <m:t>p</m:t>
        </m:r>
      </m:oMath>
      <w:r>
        <w:t>-value=</w:t>
      </w:r>
      <m:oMath>
        <m:r>
          <m:rPr>
            <m:sty m:val="p"/>
          </m:rPr>
          <w:rPr>
            <w:rFonts w:ascii="Cambria Math" w:hAnsi="Cambria Math"/>
          </w:rPr>
          <m:t>0.03</m:t>
        </m:r>
      </m:oMath>
      <w:r>
        <w:t xml:space="preserve">). In contrast, specialization remained constant (estimate of the slope of specialization through time </w:t>
      </w:r>
      <m:oMath>
        <m:r>
          <m:rPr>
            <m:sty m:val="p"/>
          </m:rPr>
          <w:rPr>
            <w:rFonts w:ascii="Cambria Math" w:hAnsi="Cambria Math"/>
          </w:rPr>
          <m:t>±</m:t>
        </m:r>
      </m:oMath>
      <w:r>
        <w:t xml:space="preserve"> SE, </w:t>
      </w:r>
      <m:oMath>
        <m:r>
          <m:rPr>
            <m:sty m:val="p"/>
          </m:rPr>
          <w:rPr>
            <w:rFonts w:ascii="Cambria Math" w:hAnsi="Cambria Math"/>
          </w:rPr>
          <m:t>0.003</m:t>
        </m:r>
      </m:oMath>
      <w:r>
        <w:t xml:space="preserve"> </w:t>
      </w:r>
      <m:oMath>
        <m:r>
          <m:rPr>
            <m:sty m:val="p"/>
          </m:rPr>
          <w:rPr>
            <w:rFonts w:ascii="Cambria Math" w:hAnsi="Cambria Math"/>
          </w:rPr>
          <m:t>±</m:t>
        </m:r>
      </m:oMath>
      <w:r>
        <w:t xml:space="preserve"> </w:t>
      </w:r>
      <m:oMath>
        <m:r>
          <m:rPr>
            <m:sty m:val="p"/>
          </m:rPr>
          <w:rPr>
            <w:rFonts w:ascii="Cambria Math" w:hAnsi="Cambria Math"/>
          </w:rPr>
          <m:t>0.015</m:t>
        </m:r>
      </m:oMath>
      <w:r>
        <w:t xml:space="preserve">, </w:t>
      </w:r>
      <m:oMath>
        <m:r>
          <m:rPr>
            <m:sty m:val="p"/>
          </m:rPr>
          <w:rPr>
            <w:rFonts w:ascii="Cambria Math" w:hAnsi="Cambria Math"/>
          </w:rPr>
          <m:t>p</m:t>
        </m:r>
      </m:oMath>
      <w:r>
        <w:t>-value=</w:t>
      </w:r>
      <m:oMath>
        <m:r>
          <m:rPr>
            <m:sty m:val="p"/>
          </m:rPr>
          <w:rPr>
            <w:rFonts w:ascii="Cambria Math" w:hAnsi="Cambria Math"/>
          </w:rPr>
          <m:t>0.827</m:t>
        </m:r>
      </m:oMath>
      <w:r>
        <w:t>).</w:t>
      </w:r>
    </w:p>
    <w:p w14:paraId="6300A7B5" w14:textId="77777777" w:rsidR="00CE7179" w:rsidRDefault="00497D35">
      <w:r>
        <w:t xml:space="preserve">Both plant and pollinator species richness increased through time (Fig. [fig:baci], estimate of the slope of richness through time </w:t>
      </w:r>
      <m:oMath>
        <m:r>
          <m:rPr>
            <m:sty m:val="p"/>
          </m:rPr>
          <w:rPr>
            <w:rFonts w:ascii="Cambria Math" w:hAnsi="Cambria Math"/>
          </w:rPr>
          <m:t>±</m:t>
        </m:r>
      </m:oMath>
      <w:r>
        <w:t xml:space="preserve"> SE, pollinators: </w:t>
      </w:r>
      <m:oMath>
        <m:r>
          <m:rPr>
            <m:sty m:val="p"/>
          </m:rPr>
          <w:rPr>
            <w:rFonts w:ascii="Cambria Math" w:hAnsi="Cambria Math"/>
          </w:rPr>
          <m:t>0.193</m:t>
        </m:r>
      </m:oMath>
      <w:r>
        <w:t xml:space="preserve"> </w:t>
      </w:r>
      <m:oMath>
        <m:r>
          <m:rPr>
            <m:sty m:val="p"/>
          </m:rPr>
          <w:rPr>
            <w:rFonts w:ascii="Cambria Math" w:hAnsi="Cambria Math"/>
          </w:rPr>
          <m:t>±</m:t>
        </m:r>
      </m:oMath>
      <w:r>
        <w:t xml:space="preserve"> </w:t>
      </w:r>
      <m:oMath>
        <m:r>
          <m:rPr>
            <m:sty m:val="p"/>
          </m:rPr>
          <w:rPr>
            <w:rFonts w:ascii="Cambria Math" w:hAnsi="Cambria Math"/>
          </w:rPr>
          <m:t>0.0729</m:t>
        </m:r>
      </m:oMath>
      <w:r>
        <w:t xml:space="preserve">, </w:t>
      </w:r>
      <m:oMath>
        <m:r>
          <m:rPr>
            <m:sty m:val="p"/>
          </m:rPr>
          <w:rPr>
            <w:rFonts w:ascii="Cambria Math" w:hAnsi="Cambria Math"/>
          </w:rPr>
          <m:t>p</m:t>
        </m:r>
      </m:oMath>
      <w:r>
        <w:t>-value=</w:t>
      </w:r>
      <m:oMath>
        <m:r>
          <m:rPr>
            <m:sty m:val="p"/>
          </m:rPr>
          <w:rPr>
            <w:rFonts w:ascii="Cambria Math" w:hAnsi="Cambria Math"/>
          </w:rPr>
          <m:t>0.008</m:t>
        </m:r>
      </m:oMath>
      <w:r>
        <w:t xml:space="preserve">; plants: </w:t>
      </w:r>
      <m:oMath>
        <m:r>
          <m:rPr>
            <m:sty m:val="p"/>
          </m:rPr>
          <w:rPr>
            <w:rFonts w:ascii="Cambria Math" w:hAnsi="Cambria Math"/>
          </w:rPr>
          <m:t>0.212</m:t>
        </m:r>
      </m:oMath>
      <w:r>
        <w:t xml:space="preserve"> </w:t>
      </w:r>
      <m:oMath>
        <m:r>
          <m:rPr>
            <m:sty m:val="p"/>
          </m:rPr>
          <w:rPr>
            <w:rFonts w:ascii="Cambria Math" w:hAnsi="Cambria Math"/>
          </w:rPr>
          <m:t>±</m:t>
        </m:r>
      </m:oMath>
      <w:r>
        <w:t xml:space="preserve"> </w:t>
      </w:r>
      <m:oMath>
        <m:r>
          <m:rPr>
            <m:sty m:val="p"/>
          </m:rPr>
          <w:rPr>
            <w:rFonts w:ascii="Cambria Math" w:hAnsi="Cambria Math"/>
          </w:rPr>
          <m:t>0.0653</m:t>
        </m:r>
      </m:oMath>
      <w:r>
        <w:t xml:space="preserve">, </w:t>
      </w:r>
      <m:oMath>
        <m:r>
          <m:rPr>
            <m:sty m:val="p"/>
          </m:rPr>
          <w:rPr>
            <w:rFonts w:ascii="Cambria Math" w:hAnsi="Cambria Math"/>
          </w:rPr>
          <m:t>p</m:t>
        </m:r>
      </m:oMath>
      <w:r>
        <w:t>-value=</w:t>
      </w:r>
      <m:oMath>
        <m:r>
          <m:rPr>
            <m:sty m:val="p"/>
          </m:rPr>
          <w:rPr>
            <w:rFonts w:ascii="Cambria Math" w:hAnsi="Cambria Math"/>
          </w:rPr>
          <m:t>0.001</m:t>
        </m:r>
      </m:oMath>
      <w:r>
        <w:t xml:space="preserve">). Unsurprisingly, pollinator species are colonizing and persisting at the assembling hedgerows. Plant species richness is based on the flowers bbeing visiting by pollinators and not the presence of a particular plant species at a site. Thus, though some new plant species may </w:t>
      </w:r>
      <w:r>
        <w:lastRenderedPageBreak/>
        <w:t>establish themselves in the hedgerows, the increase in plant richness in the networks is likely due to plants attracting visitors, as they offer better rewards.</w:t>
      </w:r>
    </w:p>
    <w:p w14:paraId="2B2EA92A" w14:textId="77777777" w:rsidR="00CE7179" w:rsidRDefault="00497D35">
      <w:pPr>
        <w:pStyle w:val="Heading2"/>
      </w:pPr>
      <w:bookmarkStart w:id="77" w:name="network-robustness-1"/>
      <w:bookmarkEnd w:id="77"/>
      <w:r>
        <w:t>Network robustness</w:t>
      </w:r>
    </w:p>
    <w:p w14:paraId="381C8501" w14:textId="77777777" w:rsidR="00CE7179" w:rsidRDefault="00497D35">
      <w:r>
        <w:t xml:space="preserve">Assembly did not effect the robustness of the networks to species extinction when species where removed incrementally by degree (Fig. [fig:rob], estimate of the slope of robustness through time </w:t>
      </w:r>
      <m:oMath>
        <m:r>
          <m:rPr>
            <m:sty m:val="p"/>
          </m:rPr>
          <w:rPr>
            <w:rFonts w:ascii="Cambria Math" w:hAnsi="Cambria Math"/>
          </w:rPr>
          <m:t>±</m:t>
        </m:r>
      </m:oMath>
      <w:r>
        <w:t xml:space="preserve"> SE, </w:t>
      </w:r>
      <m:oMath>
        <m:r>
          <m:rPr>
            <m:sty m:val="p"/>
          </m:rPr>
          <w:rPr>
            <w:rFonts w:ascii="Cambria Math" w:hAnsi="Cambria Math"/>
          </w:rPr>
          <m:t>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t xml:space="preserve">, </w:t>
      </w:r>
      <m:oMath>
        <m:r>
          <m:rPr>
            <m:sty m:val="p"/>
          </m:rPr>
          <w:rPr>
            <w:rFonts w:ascii="Cambria Math" w:hAnsi="Cambria Math"/>
          </w:rPr>
          <m:t>p</m:t>
        </m:r>
      </m:oMath>
      <w:r>
        <w:t>-value=</w:t>
      </w:r>
      <m:oMath>
        <m:r>
          <m:rPr>
            <m:sty m:val="p"/>
          </m:rPr>
          <w:rPr>
            <w:rFonts w:ascii="Cambria Math" w:hAnsi="Cambria Math"/>
          </w:rPr>
          <m:t>0.987</m:t>
        </m:r>
      </m:oMath>
      <w:r>
        <w:t>) or abundance (</w:t>
      </w:r>
      <m:oMath>
        <m:r>
          <m:rPr>
            <m:sty m:val="p"/>
          </m:rPr>
          <w:rPr>
            <w:rFonts w:ascii="Cambria Math" w:hAnsi="Cambria Math"/>
          </w:rPr>
          <m:t>0.001±0.003</m:t>
        </m:r>
      </m:oMath>
      <w:r>
        <w:t xml:space="preserve">, </w:t>
      </w:r>
      <m:oMath>
        <m:r>
          <m:rPr>
            <m:sty m:val="p"/>
          </m:rPr>
          <w:rPr>
            <w:rFonts w:ascii="Cambria Math" w:hAnsi="Cambria Math"/>
          </w:rPr>
          <m:t>p</m:t>
        </m:r>
      </m:oMath>
      <w:r>
        <w:t>-value=</w:t>
      </w:r>
      <m:oMath>
        <m:r>
          <m:rPr>
            <m:sty m:val="p"/>
          </m:rPr>
          <w:rPr>
            <w:rFonts w:ascii="Cambria Math" w:hAnsi="Cambria Math"/>
          </w:rPr>
          <m:t>0.65</m:t>
        </m:r>
      </m:oMath>
      <w:r>
        <w:t xml:space="preserve">). </w:t>
      </w:r>
      <w:commentRangeStart w:id="78"/>
      <w:r>
        <w:t xml:space="preserve">In contrast, the robustness of networks to cascading perturbations, as measured by the algebraic connectivity of the network, increased as the network assembled (Fig. [fig:rob], estimate of the slope of robustness to cascading perturbations through time </w:t>
      </w:r>
      <m:oMath>
        <m:r>
          <m:rPr>
            <m:sty m:val="p"/>
          </m:rPr>
          <w:rPr>
            <w:rFonts w:ascii="Cambria Math" w:hAnsi="Cambria Math"/>
          </w:rPr>
          <m:t>±</m:t>
        </m:r>
      </m:oMath>
      <w:r>
        <w:t xml:space="preserve"> SE, </w:t>
      </w:r>
      <m:oMath>
        <m:r>
          <m:rPr>
            <m:sty m:val="p"/>
          </m:rPr>
          <w:rPr>
            <w:rFonts w:ascii="Cambria Math" w:hAnsi="Cambria Math"/>
          </w:rPr>
          <m:t>0.6814±0.272</m:t>
        </m:r>
      </m:oMath>
      <w:r>
        <w:t xml:space="preserve">, </w:t>
      </w:r>
      <m:oMath>
        <m:r>
          <m:rPr>
            <m:sty m:val="p"/>
          </m:rPr>
          <w:rPr>
            <w:rFonts w:ascii="Cambria Math" w:hAnsi="Cambria Math"/>
          </w:rPr>
          <m:t>p</m:t>
        </m:r>
      </m:oMath>
      <w:r>
        <w:t>-value=</w:t>
      </w:r>
      <m:oMath>
        <m:r>
          <m:rPr>
            <m:sty m:val="p"/>
          </m:rPr>
          <w:rPr>
            <w:rFonts w:ascii="Cambria Math" w:hAnsi="Cambria Math"/>
          </w:rPr>
          <m:t>0.042</m:t>
        </m:r>
      </m:oMath>
      <w:r>
        <w:t>).</w:t>
      </w:r>
      <w:commentRangeEnd w:id="78"/>
      <w:r w:rsidR="00ED72CC">
        <w:rPr>
          <w:rStyle w:val="CommentReference"/>
        </w:rPr>
        <w:commentReference w:id="78"/>
      </w:r>
    </w:p>
    <w:p w14:paraId="39273B8C" w14:textId="77777777" w:rsidR="00CE7179" w:rsidRDefault="00497D35">
      <w:pPr>
        <w:pStyle w:val="Heading1"/>
      </w:pPr>
      <w:bookmarkStart w:id="79" w:name="sec:discussion"/>
      <w:bookmarkEnd w:id="79"/>
      <w:r>
        <w:t>Discussion</w:t>
      </w:r>
    </w:p>
    <w:p w14:paraId="31244EF0" w14:textId="77777777" w:rsidR="00CE7179" w:rsidRDefault="00497D35">
      <w:r>
        <w:t>We show that the temporal assembly of plant-pollinator networks following restoration is a highly dynamic process where interactions often undergo significant reorganizations, the so called changing points. If these network reorganizations were a product of environmental forces alone, we would explect to observe the same changing points at the same periods, consistently across all sites. However, network changing points in non-assembling communities are less frequent, and there are few consistent trends in when change points occurred across all sites. Several sites had network changing points between years 2009 and 2011 (Fig. [fig:changePoints]). In California, 2011 marked the beginning of a multi-year drought. The assembling hedgerows were not sampled in 2010, so disentangling whether the changing points are due to skipping a year of assembly or the drought is not possible. Interestingly, most assembling hedgerows did not undergo a significant interaction reorganization immediately after a hedgerow was planted (i.e., the transition from weedy field margin to hedgerow). This result is consistent with the finding that in our study system, hedgerow restoration takes several years to have an impact on the plant-pollinator communities (Kremen and M’Gonigle, in prep).</w:t>
      </w:r>
    </w:p>
    <w:p w14:paraId="58F5284D" w14:textId="77777777" w:rsidR="00CE7179" w:rsidRDefault="00497D35">
      <w:commentRangeStart w:id="80"/>
      <w:r>
        <w:t xml:space="preserve">In addition to finding multiple network organization changing points during </w:t>
      </w:r>
      <w:commentRangeEnd w:id="80"/>
      <w:r w:rsidR="008D37B9">
        <w:rPr>
          <w:rStyle w:val="CommentReference"/>
        </w:rPr>
        <w:commentReference w:id="80"/>
      </w:r>
      <w:r>
        <w:t xml:space="preserve">assembly, the way in which these reorganizations occur was different from what is expected by preferential attachment Based on a preferential attachment process, we expect that the most persistent and high degree species would remain stable in the network core during assembly. Surprisingly, however, we encountered the opposite pattern. For example, the four most ubiquitous species in our study landscape — </w:t>
      </w:r>
      <w:commentRangeStart w:id="81"/>
      <w:r>
        <w:rPr>
          <w:i/>
        </w:rPr>
        <w:t>Halictus ligatus</w:t>
      </w:r>
      <w:r>
        <w:t xml:space="preserve">, </w:t>
      </w:r>
      <w:r>
        <w:rPr>
          <w:i/>
        </w:rPr>
        <w:t>Halictus tripartitus</w:t>
      </w:r>
      <w:r>
        <w:t xml:space="preserve">, </w:t>
      </w:r>
      <w:r>
        <w:rPr>
          <w:i/>
        </w:rPr>
        <w:t>Lasioglossum (Dialictus) incompletum</w:t>
      </w:r>
      <w:r>
        <w:t xml:space="preserve">, and </w:t>
      </w:r>
      <w:r>
        <w:rPr>
          <w:i/>
        </w:rPr>
        <w:t>Toxomerus marginatus</w:t>
      </w:r>
      <w:r>
        <w:t xml:space="preserve"> — were the only species that changed which module (i.e., community) they were a member across years in all the assembling hedgerows. Because species degree and persistence were strongly correlated, it is difficult to disentangle the causal mechanism for why species with those characteristics are so variable in their network position. Generalized species may be able to better exploit </w:t>
      </w:r>
      <w:r>
        <w:lastRenderedPageBreak/>
        <w:t xml:space="preserve">the limited floral resources in the intensively managed agriculture landscape, and thus also be the most persistent. </w:t>
      </w:r>
      <w:commentRangeEnd w:id="81"/>
      <w:r w:rsidR="00ED72CC">
        <w:rPr>
          <w:rStyle w:val="CommentReference"/>
        </w:rPr>
        <w:commentReference w:id="81"/>
      </w:r>
      <w:r>
        <w:t>More persistent species usually have longer phenologies, so they can visit many different flowers, resulting in a higher degree. Either way, our result suggests that adaptable species can change their network position to utilize the most advantageous floral resources available, which may depend on the other pollinator species that are present, and the state of the plant community. Thus given the opportunity and ability to use different resources, species will often change their network positions.</w:t>
      </w:r>
    </w:p>
    <w:p w14:paraId="5017E704" w14:textId="77777777" w:rsidR="00CE7179" w:rsidRDefault="00497D35">
      <w:r>
        <w:t>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 be generally more stable, but rare and/or specialized pollinators could generate this pattern if they entered a community, formed unique interactions with plants that did not previously share pollinators, but did not persist in the networks. These species would not contribute strongly to network reorganization or species turnover, but would enhance weighted interaction turnover. Mature hedgerows may thus both support more stable pollination communities and likely ecosystem services, while also providing resources for r</w:t>
      </w:r>
      <w:commentRangeStart w:id="82"/>
      <w:r>
        <w:t>are and/or specialized species (Kremen and M’Gonigle 2015; M’Gonigle et al. 2015).</w:t>
      </w:r>
      <w:commentRangeEnd w:id="82"/>
      <w:r w:rsidR="008D37B9">
        <w:rPr>
          <w:rStyle w:val="CommentReference"/>
        </w:rPr>
        <w:commentReference w:id="82"/>
      </w:r>
    </w:p>
    <w:p w14:paraId="40066483" w14:textId="77777777" w:rsidR="00CE7179" w:rsidRDefault="00497D35">
      <w:r>
        <w:t xml:space="preserve">When we explore the how the network-level interaction patterns changed through time, we found that nestedness did increase as the community assembled, as would be expected if colonizing, specialist species preferentially attached to a central, generalist core (Albrecht, Riesen, and Schmid 2010). In addition, connectance decreased, as would be expected if the network is being colonized by specialist species and the overall mean number of interactions per species did not change. </w:t>
      </w:r>
      <w:commentRangeStart w:id="83"/>
      <w:r>
        <w:t xml:space="preserve">With preferential attachment, however, we would also expect specialization to increase, and we found no such trend. Furthermore, the frequent changing points in network organization, dynamic nature of species positions in the networks, and </w:t>
      </w:r>
      <w:commentRangeEnd w:id="83"/>
      <w:r w:rsidR="00B11330">
        <w:rPr>
          <w:rStyle w:val="CommentReference"/>
        </w:rPr>
        <w:commentReference w:id="83"/>
      </w:r>
      <w:r>
        <w:t xml:space="preserve">turnover of species and interactions all point to an assembly mechanism other than preferential attachment. The stable level of network-level specialization through the assembly process may be due to the increased colonization of specialized species (M’Gonigle et al. 2015) accompanied by an increase in the diet breath of resident species. This would be expected if resident species were able to minimize their foraging time by expanding their diet breath as plant diversity increases with hedgerow maturation (Waser et al. 1996; Pyke 1984; Blüthgen et al. 2007; Albrecht, Riesen, and Schmid 2010). Such a change in pollinator behavior would also explain </w:t>
      </w:r>
      <w:r>
        <w:lastRenderedPageBreak/>
        <w:t>the increase in network nestedness. Because so many mechanisms give rise to the same patterns of interaction, additional tests are necessary to assess the contribution of different mechanisms to community assembly.</w:t>
      </w:r>
    </w:p>
    <w:p w14:paraId="504ACA2F" w14:textId="276239A6" w:rsidR="00CE7179" w:rsidRDefault="00497D35">
      <w:r>
        <w:t xml:space="preserve">The changes in network patterns with assembly also increased the robustness of the </w:t>
      </w:r>
      <w:commentRangeStart w:id="84"/>
      <w:r>
        <w:t xml:space="preserve">networks to </w:t>
      </w:r>
      <w:del w:id="85" w:author="Paulo Guimaraes" w:date="2016-09-29T00:40:00Z">
        <w:r w:rsidDel="00890295">
          <w:delText>cascading perturbations</w:delText>
        </w:r>
      </w:del>
      <w:ins w:id="86" w:author="Paulo Guimaraes" w:date="2016-09-29T00:40:00Z">
        <w:r w:rsidR="00890295">
          <w:t>loss of interaction</w:t>
        </w:r>
      </w:ins>
      <w:ins w:id="87" w:author="Paulo Guimaraes" w:date="2016-09-29T00:41:00Z">
        <w:r w:rsidR="00890295">
          <w:t xml:space="preserve"> that otherwise would disrupt network structure</w:t>
        </w:r>
      </w:ins>
      <w:ins w:id="88" w:author="Paulo Guimaraes" w:date="2016-09-29T00:40:00Z">
        <w:r w:rsidR="00890295">
          <w:t xml:space="preserve"> </w:t>
        </w:r>
      </w:ins>
      <w:r>
        <w:t xml:space="preserve"> – </w:t>
      </w:r>
      <w:commentRangeEnd w:id="84"/>
      <w:r w:rsidR="00732670">
        <w:rPr>
          <w:rStyle w:val="CommentReference"/>
        </w:rPr>
        <w:commentReference w:id="84"/>
      </w:r>
      <w:r>
        <w:t xml:space="preserve">providing further evidence that hedgerows are a valuable tool for promoting species conservation and ecosystem provision in agricultural areas (M’Gonigle et al. 2015; Ponisio, M’Gonigle, and Kremen 2016; Kremen and M’Gonigle 2015). Because network vulnerability to cascading perturbations, as measured by algebraic connectivity, is correlated with species richness, the increase and plant and pollinator richness following restoration is at least partially responsible for enhancing network robustness to cascading effects. The relationship between diversity and stability in networks has been the subject of considerable debate (e.g., May 1972; Pimm 1984; Montoya, Pimm, and Solé 2006). Our results provide one of the few empirical examples of how restoring species diversity contributes to enhancing network </w:t>
      </w:r>
      <w:commentRangeStart w:id="89"/>
      <w:r>
        <w:t>stability</w:t>
      </w:r>
      <w:commentRangeEnd w:id="89"/>
      <w:r w:rsidR="00732670">
        <w:rPr>
          <w:rStyle w:val="CommentReference"/>
        </w:rPr>
        <w:commentReference w:id="89"/>
      </w:r>
      <w:r>
        <w:t>. Though these hedgerows were designed to promote floral resources across the growing season and not specifically to promote any specific network properties (Menz et al. 2010), the pollinators assembled into resilient interaction patterns. With prior knowledge of the floral preferences of pollinators, future restoration efforts may also be able to incorporate promoting network stability into planning efforts (M’Gonigle et al. 2016)</w:t>
      </w:r>
    </w:p>
    <w:p w14:paraId="603B49AF" w14:textId="77777777" w:rsidR="00CE7179" w:rsidRDefault="00497D35">
      <w:r>
        <w:t>Interestingly, however, the robustness of hedgerow communities to species loss did not change with assembly. This is particularly surprising given the observed increase in nestedness, which is often associated with an enhanced in robustness to extinction (Memmott, Waser, and Price 2004). Perhaps assembling hedgerows have yet to reach sufficient levels of nestedness to realize the benefits nestedness confers. Nestedness of the assembling hedgerows, however, did not asymptote within the eight years following restoration that the sites were surveyed, so hedgerow networks may eventually reach sufficient levels of nestedness to gain the robustness advantage.</w:t>
      </w:r>
    </w:p>
    <w:p w14:paraId="5D86ABE5" w14:textId="1C26C6BC" w:rsidR="00CE7179" w:rsidRDefault="00497D35">
      <w:r>
        <w:t xml:space="preserve">Plant-pollinator networks, in general, are highly dynamic, with high turnover of species and interactions both within and between seasons (Burkle and Alarcón 2011). Though our non-assembling communities experience fewer network reorganizations than the assembling hedgerows, </w:t>
      </w:r>
      <m:oMath>
        <m:r>
          <m:rPr>
            <m:sty m:val="p"/>
          </m:rPr>
          <w:rPr>
            <w:rFonts w:ascii="Cambria Math" w:hAnsi="Cambria Math"/>
          </w:rPr>
          <m:t>82%</m:t>
        </m:r>
      </m:oMath>
      <w:r>
        <w:t xml:space="preserve"> of field margins and </w:t>
      </w:r>
      <m:oMath>
        <m:r>
          <m:rPr>
            <m:sty m:val="p"/>
          </m:rPr>
          <w:rPr>
            <w:rFonts w:ascii="Cambria Math" w:hAnsi="Cambria Math"/>
          </w:rPr>
          <m:t>40%</m:t>
        </m:r>
      </m:oMath>
      <w:r>
        <w:t xml:space="preserve"> of mature hedgerows underwent at least one changing point in network structure. Pollinators are also highly opportunistic (Petanidou et al. 2008; Vázquez 2005; Albrecht, Riesen, and Schmid 2010), though trait complementarity such as tongue length and corolla depth impose some biophysical limits to the interactions between plants and pollinators (Vázquez, Chacoff, and Cagnolo 2009; Vázquez et al. 2009; Stang et al. 2009; Stang, Klinkhamer, and Van Der Meijden 2006; Santamaría 2007). Such opportunism may buffer plant-pollinator communities from global change (e.g., Ramos-Jiliberto et al. 2012; Kaiser-Bunbury et al. 2010), but our limited understanding of the assembly of these communities impedes making such predictions (Vázquez et al. 2009; Burkle and Alarcón 2011). Unlike in the broader </w:t>
      </w:r>
      <w:r>
        <w:lastRenderedPageBreak/>
        <w:t>food web literature, w</w:t>
      </w:r>
      <w:commentRangeStart w:id="90"/>
      <w:r>
        <w:t xml:space="preserve">e have few </w:t>
      </w:r>
      <w:del w:id="91" w:author="Paulo Guimaraes" w:date="2016-09-29T00:42:00Z">
        <w:r w:rsidDel="00732670">
          <w:delText xml:space="preserve">mechanistic </w:delText>
        </w:r>
      </w:del>
      <w:ins w:id="92" w:author="Paulo Guimaraes" w:date="2016-09-29T00:42:00Z">
        <w:r w:rsidR="00732670">
          <w:t xml:space="preserve">assembly </w:t>
        </w:r>
      </w:ins>
      <w:r>
        <w:t xml:space="preserve">models of mutualistic network assembly (Valdovinos et al. 2013; Nuismer, Jordano, and Bascompte 2013; Guimarães, Jordano, and Thompson 2011). </w:t>
      </w:r>
      <w:commentRangeEnd w:id="90"/>
      <w:r w:rsidR="00751C1B">
        <w:rPr>
          <w:rStyle w:val="CommentReference"/>
        </w:rPr>
        <w:commentReference w:id="90"/>
      </w:r>
      <w:r>
        <w:t xml:space="preserve">In addition, the few developed </w:t>
      </w:r>
      <w:ins w:id="93" w:author="Paulo Guimaraes" w:date="2016-09-29T00:44:00Z">
        <w:r w:rsidR="00751C1B">
          <w:t xml:space="preserve">models? </w:t>
        </w:r>
      </w:ins>
      <w:r>
        <w:t>often borrow their mechanisms from competitive interactions, leading to inaccurate biological assumptions (Holland, Okuyama, and DeAngelis 2006). We need further development of mechanistic models of mutualistic systems to generate testable predictions, along with empirical exploration of network assembly. Plant-pollinator communities and mutualisms broadly are vital for biodiversity maintenance and essential ecosystem service provision. We must therefore understand the processes underlying their assembly to facilitate restoration and conservation.</w:t>
      </w:r>
    </w:p>
    <w:p w14:paraId="127D4A8F" w14:textId="77777777" w:rsidR="00CE7179" w:rsidRDefault="00497D35">
      <w:pPr>
        <w:pStyle w:val="Heading1"/>
      </w:pPr>
      <w:bookmarkStart w:id="94" w:name="sec:acknowledge"/>
      <w:bookmarkEnd w:id="94"/>
      <w:r>
        <w:t>Acknowledgments</w:t>
      </w:r>
    </w:p>
    <w:p w14:paraId="6BA205AC" w14:textId="0337E301" w:rsidR="00CE7179" w:rsidRDefault="00497D35">
      <w:r>
        <w:t xml:space="preserve">We would like to thank </w:t>
      </w:r>
      <w:commentRangeStart w:id="95"/>
      <w:r>
        <w:t xml:space="preserve">Paulo </w:t>
      </w:r>
      <w:ins w:id="96" w:author="Paulo Guimaraes" w:date="2016-09-29T00:44:00Z">
        <w:r w:rsidR="00751C1B">
          <w:t xml:space="preserve">R. </w:t>
        </w:r>
      </w:ins>
      <w:r>
        <w:t>Guimarães</w:t>
      </w:r>
      <w:ins w:id="97" w:author="Paulo Guimaraes" w:date="2016-09-29T00:44:00Z">
        <w:r w:rsidR="00751C1B">
          <w:t xml:space="preserve"> Jr</w:t>
        </w:r>
        <w:commentRangeEnd w:id="95"/>
        <w:r w:rsidR="00751C1B">
          <w:rPr>
            <w:rStyle w:val="CommentReference"/>
          </w:rPr>
          <w:commentReference w:id="95"/>
        </w:r>
        <w:r w:rsidR="00751C1B">
          <w:t>.</w:t>
        </w:r>
      </w:ins>
      <w:r>
        <w:t>,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provided by São Paulo Research Foundation (FAPESP, grant 2013/13319-5). We also appreciate the Santa Fe Institute for faciliting this international collaboration.</w:t>
      </w:r>
    </w:p>
    <w:p w14:paraId="41C07A64" w14:textId="77777777" w:rsidR="00CE7179" w:rsidRDefault="00497D35">
      <w:r>
        <w:rPr>
          <w:noProof/>
        </w:rPr>
        <w:drawing>
          <wp:inline distT="0" distB="0" distL="0" distR="0" wp14:anchorId="13A629F6" wp14:editId="68A48B0C">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networks.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14:paraId="10241F2E" w14:textId="77777777" w:rsidR="00CE7179" w:rsidRDefault="00497D35">
      <w:pPr>
        <w:pStyle w:val="ImageCaption"/>
      </w:pPr>
      <w:r>
        <w:t xml:space="preserve">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network across years. In the assembling hedgerows, colored squares in the corner of each network represent the year of </w:t>
      </w:r>
      <w:r>
        <w:lastRenderedPageBreak/>
        <w:t>assembly. Before hedgerows are installed (when they are still field margins) the year of assembly is zero.</w:t>
      </w:r>
    </w:p>
    <w:p w14:paraId="54CCDAD0" w14:textId="77777777" w:rsidR="00CE7179" w:rsidRDefault="00497D35">
      <w:r>
        <w:t>[fig:changePoints]</w:t>
      </w:r>
    </w:p>
    <w:p w14:paraId="51F332C1" w14:textId="77777777" w:rsidR="00CE7179" w:rsidRDefault="00497D35">
      <w:r>
        <w:rPr>
          <w:noProof/>
        </w:rPr>
        <w:drawing>
          <wp:inline distT="0" distB="0" distL="0" distR="0" wp14:anchorId="0B772C8B" wp14:editId="75F49A86">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communitiesSkanky2.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14:paraId="79EF041B" w14:textId="77777777" w:rsidR="00CE7179" w:rsidRDefault="00497D35">
      <w:pPr>
        <w:pStyle w:val="ImageCaption"/>
      </w:pPr>
      <w:r>
        <w:t xml:space="preserve">The community (i.e., module or compartment) membership between network changing points. Two representative assembling hedgerows are depicted. In the top panel, species are grouped by community. The bottom panels visualize the flow of species between communities between changing points. </w:t>
      </w:r>
    </w:p>
    <w:p w14:paraId="617D7286" w14:textId="77777777" w:rsidR="00CE7179" w:rsidRDefault="00497D35">
      <w:r>
        <w:t>[fig:changePoints2]</w:t>
      </w:r>
    </w:p>
    <w:p w14:paraId="249F5C1E" w14:textId="77777777" w:rsidR="00CE7179" w:rsidRDefault="00497D35">
      <w:r>
        <w:rPr>
          <w:noProof/>
        </w:rPr>
        <w:drawing>
          <wp:inline distT="0" distB="0" distL="0" distR="0" wp14:anchorId="43D8F234" wp14:editId="74D0818A">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cv/occ_degree.pdf"/>
                    <pic:cNvPicPr>
                      <a:picLocks noChangeAspect="1" noChangeArrowheads="1"/>
                    </pic:cNvPicPr>
                  </pic:nvPicPr>
                  <pic:blipFill>
                    <a:blip r:embed="rId11"/>
                    <a:stretch>
                      <a:fillRect/>
                    </a:stretch>
                  </pic:blipFill>
                  <pic:spPr bwMode="auto">
                    <a:xfrm>
                      <a:off x="0" y="0"/>
                      <a:ext cx="1524000" cy="1524000"/>
                    </a:xfrm>
                    <a:prstGeom prst="rect">
                      <a:avLst/>
                    </a:prstGeom>
                    <a:noFill/>
                    <a:ln w="9525">
                      <a:noFill/>
                      <a:headEnd/>
                      <a:tailEnd/>
                    </a:ln>
                  </pic:spPr>
                </pic:pic>
              </a:graphicData>
            </a:graphic>
          </wp:inline>
        </w:drawing>
      </w:r>
    </w:p>
    <w:p w14:paraId="109DB1C9" w14:textId="77777777" w:rsidR="00CE7179" w:rsidRDefault="00497D35">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species across sites. The solid line indicates the mean slope estimate and the dashed lines are the </w:t>
      </w:r>
      <m:oMath>
        <m:r>
          <w:rPr>
            <w:rFonts w:ascii="Cambria Math" w:hAnsi="Cambria Math"/>
          </w:rPr>
          <m:t>95%</m:t>
        </m:r>
      </m:oMath>
      <w:r>
        <w:t xml:space="preserve"> confidence intervals around the estimate. </w:t>
      </w:r>
    </w:p>
    <w:p w14:paraId="0CBA190E" w14:textId="77777777" w:rsidR="00CE7179" w:rsidRDefault="00497D35">
      <w:r>
        <w:t>[fig:cv]</w:t>
      </w:r>
    </w:p>
    <w:p w14:paraId="5A5FE7EE" w14:textId="77777777" w:rsidR="00CE7179" w:rsidRDefault="00497D35">
      <w:r>
        <w:rPr>
          <w:noProof/>
        </w:rPr>
        <w:drawing>
          <wp:inline distT="0" distB="0" distL="0" distR="0" wp14:anchorId="7E06845D" wp14:editId="5B10E017">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turnover_panels.pdf"/>
                    <pic:cNvPicPr>
                      <a:picLocks noChangeAspect="1" noChangeArrowheads="1"/>
                    </pic:cNvPicPr>
                  </pic:nvPicPr>
                  <pic:blipFill>
                    <a:blip r:embed="rId12"/>
                    <a:stretch>
                      <a:fillRect/>
                    </a:stretch>
                  </pic:blipFill>
                  <pic:spPr bwMode="auto">
                    <a:xfrm>
                      <a:off x="0" y="0"/>
                      <a:ext cx="1524000" cy="1524000"/>
                    </a:xfrm>
                    <a:prstGeom prst="rect">
                      <a:avLst/>
                    </a:prstGeom>
                    <a:noFill/>
                    <a:ln w="9525">
                      <a:noFill/>
                      <a:headEnd/>
                      <a:tailEnd/>
                    </a:ln>
                  </pic:spPr>
                </pic:pic>
              </a:graphicData>
            </a:graphic>
          </wp:inline>
        </w:drawing>
      </w:r>
    </w:p>
    <w:p w14:paraId="2C5177FE" w14:textId="77777777" w:rsidR="00CE7179" w:rsidRDefault="00497D35">
      <w:pPr>
        <w:pStyle w:val="ImageCaption"/>
      </w:pPr>
      <w:r>
        <w:lastRenderedPageBreak/>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 </w:t>
      </w:r>
    </w:p>
    <w:p w14:paraId="4C751FA4" w14:textId="77777777" w:rsidR="00CE7179" w:rsidRDefault="00497D35">
      <w:r>
        <w:t>[fig:beta]</w:t>
      </w:r>
    </w:p>
    <w:p w14:paraId="444BC4A6" w14:textId="77777777" w:rsidR="00CE7179" w:rsidRDefault="00497D35">
      <w:r>
        <w:rPr>
          <w:noProof/>
        </w:rPr>
        <w:drawing>
          <wp:inline distT="0" distB="0" distL="0" distR="0" wp14:anchorId="3171B962" wp14:editId="72E1B512">
            <wp:extent cx="1524000" cy="152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baci.pdf"/>
                    <pic:cNvPicPr>
                      <a:picLocks noChangeAspect="1" noChangeArrowheads="1"/>
                    </pic:cNvPicPr>
                  </pic:nvPicPr>
                  <pic:blipFill>
                    <a:blip r:embed="rId13"/>
                    <a:stretch>
                      <a:fillRect/>
                    </a:stretch>
                  </pic:blipFill>
                  <pic:spPr bwMode="auto">
                    <a:xfrm>
                      <a:off x="0" y="0"/>
                      <a:ext cx="1524000" cy="1524000"/>
                    </a:xfrm>
                    <a:prstGeom prst="rect">
                      <a:avLst/>
                    </a:prstGeom>
                    <a:noFill/>
                    <a:ln w="9525">
                      <a:noFill/>
                      <a:headEnd/>
                      <a:tailEnd/>
                    </a:ln>
                  </pic:spPr>
                </pic:pic>
              </a:graphicData>
            </a:graphic>
          </wp:inline>
        </w:drawing>
      </w:r>
    </w:p>
    <w:p w14:paraId="29C3E7A0" w14:textId="77777777" w:rsidR="00CE7179" w:rsidRDefault="00497D35">
      <w:pPr>
        <w:pStyle w:val="ImageCaption"/>
      </w:pPr>
      <w:r>
        <w:t xml:space="preserve">Nestedness, plant richness and pollinator richness increased as the networks assembled. Specialization and modularity remained consistent across years, while connectance decreased. The left panels represent </w:t>
      </w:r>
      <m:oMath>
        <m:r>
          <w:rPr>
            <w:rFonts w:ascii="Cambria Math" w:hAnsi="Cambria Math"/>
          </w:rPr>
          <m:t>z</m:t>
        </m:r>
      </m:oMath>
      <w:r>
        <w:t xml:space="preserve">-scores. Scores greater than </w:t>
      </w:r>
      <m:oMath>
        <m:r>
          <w:rPr>
            <w:rFonts w:ascii="Cambria Math" w:hAnsi="Cambria Math"/>
          </w:rPr>
          <m:t>∼2</m:t>
        </m:r>
      </m:oMath>
      <w:r>
        <w:t xml:space="preserve"> or less than </w:t>
      </w:r>
      <m:oMath>
        <m:r>
          <w:rPr>
            <w:rFonts w:ascii="Cambria Math" w:hAnsi="Cambria Math"/>
          </w:rPr>
          <m:t>∼-2</m:t>
        </m:r>
      </m:oMath>
      <w:r>
        <w:t xml:space="preserve"> are significantly more or less structured than randomly assembled networks. Points are the metric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5B99BE5D" w14:textId="77777777" w:rsidR="00CE7179" w:rsidRDefault="00497D35">
      <w:r>
        <w:t>[fig:baci]</w:t>
      </w:r>
    </w:p>
    <w:p w14:paraId="3428DC70" w14:textId="77777777" w:rsidR="00CE7179" w:rsidRDefault="00497D35">
      <w:r>
        <w:rPr>
          <w:noProof/>
        </w:rPr>
        <w:drawing>
          <wp:inline distT="0" distB="0" distL="0" distR="0" wp14:anchorId="57EC76E3" wp14:editId="2599CC57">
            <wp:extent cx="1524000" cy="152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robustness.pdf"/>
                    <pic:cNvPicPr>
                      <a:picLocks noChangeAspect="1" noChangeArrowheads="1"/>
                    </pic:cNvPicPr>
                  </pic:nvPicPr>
                  <pic:blipFill>
                    <a:blip r:embed="rId14"/>
                    <a:stretch>
                      <a:fillRect/>
                    </a:stretch>
                  </pic:blipFill>
                  <pic:spPr bwMode="auto">
                    <a:xfrm>
                      <a:off x="0" y="0"/>
                      <a:ext cx="1524000" cy="1524000"/>
                    </a:xfrm>
                    <a:prstGeom prst="rect">
                      <a:avLst/>
                    </a:prstGeom>
                    <a:noFill/>
                    <a:ln w="9525">
                      <a:noFill/>
                      <a:headEnd/>
                      <a:tailEnd/>
                    </a:ln>
                  </pic:spPr>
                </pic:pic>
              </a:graphicData>
            </a:graphic>
          </wp:inline>
        </w:drawing>
      </w:r>
    </w:p>
    <w:p w14:paraId="1E9D88AF" w14:textId="77777777" w:rsidR="00CE7179" w:rsidRDefault="00497D35">
      <w:pPr>
        <w:pStyle w:val="ImageCaption"/>
      </w:pPr>
      <w:r>
        <w:t xml:space="preserve">The robustness of networks to species extinction did not change with network assembly, but the resilience to to cascading perturbation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1C916CCE" w14:textId="77777777" w:rsidR="00CE7179" w:rsidRDefault="00497D35">
      <w:r>
        <w:lastRenderedPageBreak/>
        <w:t>[fig:rob]</w:t>
      </w:r>
    </w:p>
    <w:p w14:paraId="1207DC67" w14:textId="77777777" w:rsidR="00CE7179" w:rsidRDefault="00497D35">
      <w:pPr>
        <w:pStyle w:val="Bibliography"/>
      </w:pPr>
      <w:r>
        <w:t xml:space="preserve">Ahn, Yong-Yeol, James P Bagrow, and Sune Lehmann. 2010. “Link Communities Reveal Multiscale Complexity in Networks.” </w:t>
      </w:r>
      <w:r>
        <w:rPr>
          <w:i/>
        </w:rPr>
        <w:t>Nature</w:t>
      </w:r>
      <w:r>
        <w:t xml:space="preserve"> 466 (7307). Nature Publishing Group: 761–64.</w:t>
      </w:r>
    </w:p>
    <w:p w14:paraId="529F0C6C" w14:textId="77777777" w:rsidR="00CE7179" w:rsidRDefault="00497D35">
      <w:pPr>
        <w:pStyle w:val="Bibliography"/>
      </w:pPr>
      <w:r>
        <w:t xml:space="preserve">Albrecht, Matthias, Matthias Riesen, and Bernhard Schmid. 2010. “Plant–pollinator Network Assembly Along the Chronosequence of a Glacier Foreland.” </w:t>
      </w:r>
      <w:r>
        <w:rPr>
          <w:i/>
        </w:rPr>
        <w:t>Oikos</w:t>
      </w:r>
      <w:r>
        <w:t xml:space="preserve"> 119 (10). Wiley Online Library: 1610–24.</w:t>
      </w:r>
    </w:p>
    <w:p w14:paraId="3AAC5D22" w14:textId="77777777" w:rsidR="00CE7179" w:rsidRDefault="00497D35">
      <w:pPr>
        <w:pStyle w:val="Bibliography"/>
      </w:pPr>
      <w:r>
        <w:t xml:space="preserve">Almeida-Neto, M, P Gumarães, P R Gumarães, R D Loyola, and W Ulrich. 2008. “A Consistent Metric for Nestedness Analysis in Ecological Systems: Reconciling Concept and Measurement.” </w:t>
      </w:r>
      <w:r>
        <w:rPr>
          <w:i/>
        </w:rPr>
        <w:t>Oikos</w:t>
      </w:r>
      <w:r>
        <w:t xml:space="preserve"> 117: 1227–39.</w:t>
      </w:r>
    </w:p>
    <w:p w14:paraId="017DA949" w14:textId="77777777" w:rsidR="00CE7179" w:rsidRDefault="00497D35">
      <w:pPr>
        <w:pStyle w:val="Bibliography"/>
      </w:pPr>
      <w:r>
        <w:t xml:space="preserve">Anderson, Marti J, Thomas O Crist, Jonathan M Chase, Mark Vellend, Brian D Inouye, Amy L Freestone, Nathan J Sanders, et al. 2011. “Navigating the Multiple Meanings of </w:t>
      </w:r>
      <m:oMath>
        <m:r>
          <m:rPr>
            <m:sty m:val="p"/>
          </m:rPr>
          <w:rPr>
            <w:rFonts w:ascii="Cambria Math" w:hAnsi="Cambria Math"/>
          </w:rPr>
          <m:t>β</m:t>
        </m:r>
      </m:oMath>
      <w:r>
        <w:t xml:space="preserve"> Diversity: A Roadmap for the Practicing Ecologist.” </w:t>
      </w:r>
      <w:r>
        <w:rPr>
          <w:i/>
        </w:rPr>
        <w:t>Ecol. Lett.</w:t>
      </w:r>
      <w:r>
        <w:t xml:space="preserve"> 14 (1). Wiley Online Library: 19–28.</w:t>
      </w:r>
    </w:p>
    <w:p w14:paraId="4CD41762" w14:textId="77777777" w:rsidR="00CE7179" w:rsidRDefault="00497D35">
      <w:pPr>
        <w:pStyle w:val="Bibliography"/>
      </w:pPr>
      <w:r>
        <w:t xml:space="preserve">Barabási, Albert-László, and Réka Albert. 1999. “Emergence of Scaling in Random Networks.” </w:t>
      </w:r>
      <w:r>
        <w:rPr>
          <w:i/>
        </w:rPr>
        <w:t>Science</w:t>
      </w:r>
      <w:r>
        <w:t xml:space="preserve"> 286 (5439). American Association for the Advancement of Science: 509–12.</w:t>
      </w:r>
    </w:p>
    <w:p w14:paraId="7F91D77A" w14:textId="77777777" w:rsidR="00CE7179" w:rsidRDefault="00497D35">
      <w:pPr>
        <w:pStyle w:val="Bibliography"/>
      </w:pPr>
      <w:r>
        <w:t xml:space="preserve">Barnosky, Anthony D, Nicholas Matzke, Susumu Tomiya, Guinevere OU Wogan, Brian Swartz, Tiago B Quental, Charles Marshall, et al. 2011. “Has the Earth’s Sixth Mass Extinction Already Arrived?” </w:t>
      </w:r>
      <w:r>
        <w:rPr>
          <w:i/>
        </w:rPr>
        <w:t>Nature</w:t>
      </w:r>
      <w:r>
        <w:t xml:space="preserve"> 471 (7336). Nature Publishing Group: 51–57.</w:t>
      </w:r>
    </w:p>
    <w:p w14:paraId="19045690" w14:textId="77777777" w:rsidR="00CE7179" w:rsidRDefault="00497D35">
      <w:pPr>
        <w:pStyle w:val="Bibliography"/>
      </w:pPr>
      <w:r>
        <w:t xml:space="preserve">Bascompte, J., and D. B. Stouffer. 2009. “The Assembly and Disassembly of Ecological Networks.” </w:t>
      </w:r>
      <w:r>
        <w:rPr>
          <w:i/>
        </w:rPr>
        <w:t>Phil. Trans. R. Soc. B</w:t>
      </w:r>
      <w:r>
        <w:t xml:space="preserve"> 364: 1781.</w:t>
      </w:r>
    </w:p>
    <w:p w14:paraId="567993E0" w14:textId="77777777" w:rsidR="00CE7179" w:rsidRDefault="00497D35">
      <w:pPr>
        <w:pStyle w:val="Bibliography"/>
      </w:pPr>
      <w:r>
        <w:t xml:space="preserve">Bascompte, J., P. Jordano, and J. M. Olesen. 2006. “Asymmetric Coevolutionary Networks Facilitate Biodiversity Maintenance.” </w:t>
      </w:r>
      <w:r>
        <w:rPr>
          <w:i/>
        </w:rPr>
        <w:t>Science</w:t>
      </w:r>
      <w:r>
        <w:t xml:space="preserve"> 312: 431–33.</w:t>
      </w:r>
    </w:p>
    <w:p w14:paraId="112ACFBF" w14:textId="77777777" w:rsidR="00CE7179" w:rsidRDefault="00497D35">
      <w:pPr>
        <w:pStyle w:val="Bibliography"/>
      </w:pPr>
      <w:r>
        <w:t xml:space="preserve">Bascompte, J., P. Jordano, C. J. Melián, and J. M. Olesen. 2003. “The Nested Assembly of Plant-Animal Mutualistic Networks.” </w:t>
      </w:r>
      <w:r>
        <w:rPr>
          <w:i/>
        </w:rPr>
        <w:t>Proc. Natl. Acad. Sci. USA</w:t>
      </w:r>
      <w:r>
        <w:t xml:space="preserve"> 100: 9383–87.</w:t>
      </w:r>
    </w:p>
    <w:p w14:paraId="32707DEC" w14:textId="77777777" w:rsidR="00CE7179" w:rsidRDefault="00497D35">
      <w:pPr>
        <w:pStyle w:val="Bibliography"/>
      </w:pPr>
      <w:r>
        <w:t xml:space="preserve">Bates, D, M Maechler, B Bolker, and S Walker. 2014. </w:t>
      </w:r>
      <w:r>
        <w:rPr>
          <w:i/>
        </w:rPr>
        <w:t>Lme4: Linear Mixed-Effects Models Using Eigen and S4</w:t>
      </w:r>
      <w:r>
        <w:t xml:space="preserve">. </w:t>
      </w:r>
      <w:hyperlink r:id="rId15">
        <w:r>
          <w:rPr>
            <w:rStyle w:val="Link"/>
          </w:rPr>
          <w:t>http://CRAN.R-project.org/package=lme4</w:t>
        </w:r>
      </w:hyperlink>
      <w:r>
        <w:t>.</w:t>
      </w:r>
    </w:p>
    <w:p w14:paraId="209B8EAB" w14:textId="77777777" w:rsidR="00CE7179" w:rsidRDefault="00497D35">
      <w:pPr>
        <w:pStyle w:val="Bibliography"/>
      </w:pPr>
      <w:r>
        <w:t xml:space="preserve">Blüthgen, N, F Menzel, and N Blüthgen. 2006. “Measuring Specialization in Species Interaction Networks.” </w:t>
      </w:r>
      <w:r>
        <w:rPr>
          <w:i/>
        </w:rPr>
        <w:t>BMC Ecol.</w:t>
      </w:r>
      <w:r>
        <w:t xml:space="preserve"> 6: 9.</w:t>
      </w:r>
    </w:p>
    <w:p w14:paraId="0ABCF7FD" w14:textId="77777777" w:rsidR="00CE7179" w:rsidRDefault="00497D35">
      <w:pPr>
        <w:pStyle w:val="Bibliography"/>
      </w:pPr>
      <w:r>
        <w:t xml:space="preserve">Blüthgen, Nico, Florian Menzel, Thomas Hovestadt, Brigitte Fiala, and Nils Blüthgen. 2007. “Specialization, Constraints, and Conflicting Interests in Mutualistic Networks.” </w:t>
      </w:r>
      <w:r>
        <w:rPr>
          <w:i/>
        </w:rPr>
        <w:t>Curr. Biol.</w:t>
      </w:r>
      <w:r>
        <w:t xml:space="preserve"> 17 (4): 341–46.</w:t>
      </w:r>
    </w:p>
    <w:p w14:paraId="0E824B6D" w14:textId="77777777" w:rsidR="00CE7179" w:rsidRDefault="00497D35">
      <w:pPr>
        <w:pStyle w:val="Bibliography"/>
      </w:pPr>
      <w:r>
        <w:t xml:space="preserve">Burkle, L. A., and R. Alarcón. 2011. “The Future of Plant-Pollinator Diversity: Understanding Interaction Networks Across Time, Space, and Global Change.” </w:t>
      </w:r>
      <w:r>
        <w:rPr>
          <w:i/>
        </w:rPr>
        <w:t>Am. J. Bot.</w:t>
      </w:r>
      <w:r>
        <w:t xml:space="preserve"> 98: 528.</w:t>
      </w:r>
    </w:p>
    <w:p w14:paraId="37945603" w14:textId="77777777" w:rsidR="00CE7179" w:rsidRDefault="00497D35">
      <w:pPr>
        <w:pStyle w:val="Bibliography"/>
      </w:pPr>
      <w:r>
        <w:lastRenderedPageBreak/>
        <w:t xml:space="preserve">Chao, Anne, Robin L Chazdon, Robert K Colwell, and Tsung-Jen Shen. 2005. “A New Statistical Approach for Assessing Similarity of Species Composition with Incidence and Abundance Data.” </w:t>
      </w:r>
      <w:r>
        <w:rPr>
          <w:i/>
        </w:rPr>
        <w:t>Ecol. Lett.</w:t>
      </w:r>
      <w:r>
        <w:t xml:space="preserve"> 8 (2): 148–59.</w:t>
      </w:r>
    </w:p>
    <w:p w14:paraId="50B47A85" w14:textId="77777777" w:rsidR="00CE7179" w:rsidRDefault="00497D35">
      <w:pPr>
        <w:pStyle w:val="Bibliography"/>
      </w:pPr>
      <w:r>
        <w:t xml:space="preserve">Costa, L da F, Francisco A Rodrigues, Gonzalo Travieso, and Paulino Ribeiro Villas Boas. 2007. “Characterization of Complex Networks: A Survey of Measurements.” </w:t>
      </w:r>
      <w:r>
        <w:rPr>
          <w:i/>
        </w:rPr>
        <w:t>Advances in Physics</w:t>
      </w:r>
      <w:r>
        <w:t xml:space="preserve"> 56 (1). Taylor &amp; Francis: 167–242.</w:t>
      </w:r>
    </w:p>
    <w:p w14:paraId="36CD1A75" w14:textId="77777777" w:rsidR="00CE7179" w:rsidRDefault="00497D35">
      <w:pPr>
        <w:pStyle w:val="Bibliography"/>
      </w:pPr>
      <w:r>
        <w:t xml:space="preserve">Csardi, Gabor, and Tamas Nepusz. 2006. “The Igraph Software Package for Complex Network Research.” </w:t>
      </w:r>
      <w:r>
        <w:rPr>
          <w:i/>
        </w:rPr>
        <w:t>InterJournal</w:t>
      </w:r>
      <w:r>
        <w:t xml:space="preserve"> Complex Systems: 1695. </w:t>
      </w:r>
      <w:hyperlink r:id="rId16">
        <w:r>
          <w:rPr>
            <w:rStyle w:val="Link"/>
          </w:rPr>
          <w:t>http://igraph.org</w:t>
        </w:r>
      </w:hyperlink>
      <w:r>
        <w:t>.</w:t>
      </w:r>
    </w:p>
    <w:p w14:paraId="757CC1AF" w14:textId="77777777" w:rsidR="00CE7179" w:rsidRDefault="00497D35">
      <w:pPr>
        <w:pStyle w:val="Bibliography"/>
      </w:pPr>
      <w:r>
        <w:t xml:space="preserve">Devoto, Mariano, Sallie Bailey, Paul Craze, and Jane Memmott. 2012. “Understanding and Planning Ecological Restoration of Plant–pollinator Networks.” </w:t>
      </w:r>
      <w:r>
        <w:rPr>
          <w:i/>
        </w:rPr>
        <w:t>Ecol. Lett.</w:t>
      </w:r>
      <w:r>
        <w:t xml:space="preserve"> 15 (4). Wiley Online Library: 319–28.</w:t>
      </w:r>
    </w:p>
    <w:p w14:paraId="4E1F45D8" w14:textId="77777777" w:rsidR="00CE7179" w:rsidRDefault="00497D35">
      <w:pPr>
        <w:pStyle w:val="Bibliography"/>
      </w:pPr>
      <w:r>
        <w:t xml:space="preserve">Dormann, C., B. Gruber, and J. Fründ. 2008. “Introducing the Bipartite Package: Analysing Ecological Networks.” </w:t>
      </w:r>
      <w:r>
        <w:rPr>
          <w:i/>
        </w:rPr>
        <w:t>R News</w:t>
      </w:r>
      <w:r>
        <w:t xml:space="preserve"> 8: 8.</w:t>
      </w:r>
    </w:p>
    <w:p w14:paraId="20C73F45" w14:textId="77777777" w:rsidR="00CE7179" w:rsidRDefault="00497D35">
      <w:pPr>
        <w:pStyle w:val="Bibliography"/>
      </w:pPr>
      <w:r>
        <w:t xml:space="preserve">Dunn, Robert R, Nyeema C Harris, Robert K Colwell, Lian Pin Koh, and Navjot S Sodhi. 2009. “The Sixth Mass Coextinction: Are Most Endangered Species Parasites and Mutualists?” </w:t>
      </w:r>
      <w:r>
        <w:rPr>
          <w:i/>
        </w:rPr>
        <w:t>Proc. R. Soc. Lond. [Biol]</w:t>
      </w:r>
      <w:r>
        <w:t xml:space="preserve"> 276 (1670). The Royal Society: 3037–45.</w:t>
      </w:r>
    </w:p>
    <w:p w14:paraId="16D2FEB4" w14:textId="77777777" w:rsidR="00CE7179" w:rsidRDefault="00497D35">
      <w:pPr>
        <w:pStyle w:val="Bibliography"/>
      </w:pPr>
      <w:r>
        <w:t xml:space="preserve">Engelsdorp, D van, JD Evans, C Saegerman, C Mullin, E Haubruge, BK Nguyen, M. Frazier, et al. 2009. “Colony Collapse Disorder: A Descriptive Study.” </w:t>
      </w:r>
      <w:r>
        <w:rPr>
          <w:i/>
        </w:rPr>
        <w:t>PloS One</w:t>
      </w:r>
      <w:r>
        <w:t xml:space="preserve"> 4: 1–17.</w:t>
      </w:r>
    </w:p>
    <w:p w14:paraId="3782018E" w14:textId="77777777" w:rsidR="00CE7179" w:rsidRDefault="00497D35">
      <w:pPr>
        <w:pStyle w:val="Bibliography"/>
      </w:pPr>
      <w:r>
        <w:t xml:space="preserve">Fiedler, Miroslav. 1973. “Algebraic Connectivity of Graphs.” </w:t>
      </w:r>
      <w:r>
        <w:rPr>
          <w:i/>
        </w:rPr>
        <w:t>Czechoslovak Mathematical Journal</w:t>
      </w:r>
      <w:r>
        <w:t xml:space="preserve"> 23 (2). Institute of Mathematics, Academy of Sciences of the Czech Republic: 298–305.</w:t>
      </w:r>
    </w:p>
    <w:p w14:paraId="118266FA" w14:textId="77777777" w:rsidR="00CE7179" w:rsidRDefault="00497D35">
      <w:pPr>
        <w:pStyle w:val="Bibliography"/>
      </w:pPr>
      <w:r>
        <w:t xml:space="preserve">Forup, Mikael Lytzau, Kate SE Henson, Paul G Craze, and Jane Memmott. 2008. “The Restoration of Ecological Interactions: Plant–pollinator Networks on Ancient and Restored Heathlands.” </w:t>
      </w:r>
      <w:r>
        <w:rPr>
          <w:i/>
        </w:rPr>
        <w:t>J. Appl. Ecol.</w:t>
      </w:r>
      <w:r>
        <w:t xml:space="preserve"> 45 (3). Wiley Online Library: 742–52.</w:t>
      </w:r>
    </w:p>
    <w:p w14:paraId="52B535BF" w14:textId="77777777" w:rsidR="00CE7179" w:rsidRDefault="00497D35">
      <w:pPr>
        <w:pStyle w:val="Bibliography"/>
      </w:pPr>
      <w:r>
        <w:t xml:space="preserve">Forup, ML, KSE Henson, PG Craze, and J Memmott. 2008. “The Restoration of Ecological Interactions: Plant-Pollinator Networks on Ancient and Restored Heathlands.” </w:t>
      </w:r>
      <w:r>
        <w:rPr>
          <w:i/>
        </w:rPr>
        <w:t>J. Appl. Ecol.</w:t>
      </w:r>
      <w:r>
        <w:t xml:space="preserve"> 45: 742–52.</w:t>
      </w:r>
    </w:p>
    <w:p w14:paraId="0CDBD1AF" w14:textId="77777777" w:rsidR="00CE7179" w:rsidRDefault="00497D35">
      <w:pPr>
        <w:pStyle w:val="Bibliography"/>
      </w:pPr>
      <w:r>
        <w:t xml:space="preserve">Galeano, Javier, Juan M Pastor, and Jose M Iriondo. 2009. “Weighted-Interaction Nestedness Estimator (WINE): A New Estimator to Calculate over Frequency Matrices.” </w:t>
      </w:r>
      <w:r>
        <w:rPr>
          <w:i/>
        </w:rPr>
        <w:t>Environmental Modeling &amp; Software</w:t>
      </w:r>
      <w:r>
        <w:t xml:space="preserve"> 24 (11). Elsevier: 1342–46.</w:t>
      </w:r>
    </w:p>
    <w:p w14:paraId="6807CC43" w14:textId="77777777" w:rsidR="00CE7179" w:rsidRDefault="00497D35">
      <w:pPr>
        <w:pStyle w:val="Bibliography"/>
      </w:pPr>
      <w:r>
        <w:t xml:space="preserve">Graham, Catherine H, and Paul VA Fine. 2008. “Phylogenetic Beta Diversity: Linking Ecological and Evolutionary Processes Across Space in Time.” </w:t>
      </w:r>
      <w:r>
        <w:rPr>
          <w:i/>
        </w:rPr>
        <w:t>Ecol. Lett.</w:t>
      </w:r>
      <w:r>
        <w:t xml:space="preserve"> 11 (12). Wiley Online Library: 1265–77.</w:t>
      </w:r>
    </w:p>
    <w:p w14:paraId="0E340E32" w14:textId="77777777" w:rsidR="00CE7179" w:rsidRDefault="00497D35">
      <w:pPr>
        <w:pStyle w:val="Bibliography"/>
      </w:pPr>
      <w:r>
        <w:t xml:space="preserve">Guimarães, P. R., P. Jordano, and J. N. Thompson. 2011. “Evolution and Coevolution in Mutualistic Networks.” </w:t>
      </w:r>
      <w:r>
        <w:rPr>
          <w:i/>
        </w:rPr>
        <w:t>Ecol. Lett.</w:t>
      </w:r>
      <w:r>
        <w:t xml:space="preserve"> 14 (9): 877–85.</w:t>
      </w:r>
    </w:p>
    <w:p w14:paraId="7E113E32" w14:textId="77777777" w:rsidR="00CE7179" w:rsidRDefault="00497D35">
      <w:pPr>
        <w:pStyle w:val="Bibliography"/>
      </w:pPr>
      <w:r>
        <w:lastRenderedPageBreak/>
        <w:t xml:space="preserve">Holland, J Nathaniel, Toshinori Okuyama, and Donald L DeAngelis. 2006. “Comment on ‘Asymmetric Coevolutionary Networks Facilitate Biodiversity Maintenance’.” </w:t>
      </w:r>
      <w:r>
        <w:rPr>
          <w:i/>
        </w:rPr>
        <w:t>Science</w:t>
      </w:r>
      <w:r>
        <w:t xml:space="preserve"> 313 (5795). American Association for the Advancement of Science: 1887b–7b.</w:t>
      </w:r>
    </w:p>
    <w:p w14:paraId="768C008B" w14:textId="77777777" w:rsidR="00CE7179" w:rsidRDefault="00497D35">
      <w:pPr>
        <w:pStyle w:val="Bibliography"/>
      </w:pPr>
      <w:r>
        <w:t xml:space="preserve">Kaiser-Bunbury, Christopher N, Stefanie Muff, Jane Memmott, Christine B Müller, and Amedeo Caflisch. 2010. “The Robustness of Pollination Networks to the Loss of Species and Interactions: A Quantitative Approach Incorporating Pollinator Behaviour.” </w:t>
      </w:r>
      <w:r>
        <w:rPr>
          <w:i/>
        </w:rPr>
        <w:t>Ecology Letters</w:t>
      </w:r>
      <w:r>
        <w:t xml:space="preserve"> 13 (4). Wiley Online Library: 442–52.</w:t>
      </w:r>
    </w:p>
    <w:p w14:paraId="73FDC26A" w14:textId="77777777" w:rsidR="00CE7179" w:rsidRDefault="00497D35">
      <w:pPr>
        <w:pStyle w:val="Bibliography"/>
      </w:pPr>
      <w:r>
        <w:t xml:space="preserve">Kalinka, Alex T, and Pavel Tomancak. 2011. “Linkcomm: An R Package for the Generation, Visualization, and Analysis of Link Communities in Networks of Arbitrary Size and Type.” </w:t>
      </w:r>
      <w:r>
        <w:rPr>
          <w:i/>
        </w:rPr>
        <w:t>Bioinformatics</w:t>
      </w:r>
      <w:r>
        <w:t xml:space="preserve"> 27 (14). Oxford Univ Press.</w:t>
      </w:r>
    </w:p>
    <w:p w14:paraId="69184854" w14:textId="77777777" w:rsidR="00CE7179" w:rsidRDefault="00497D35">
      <w:pPr>
        <w:pStyle w:val="Bibliography"/>
      </w:pPr>
      <w:r>
        <w:t xml:space="preserve">Kembel, SW, PD Cowan, MR Helmus, WK Cornwell, H Morlon, DD Ackerly, SP Blomberg, and CO Webb. 2010. “Picante: R Tools for Integrating Phylogenies and Ecology.” </w:t>
      </w:r>
      <w:r>
        <w:rPr>
          <w:i/>
        </w:rPr>
        <w:t>Bioinformatics</w:t>
      </w:r>
      <w:r>
        <w:t xml:space="preserve"> 26: 1463–64.</w:t>
      </w:r>
    </w:p>
    <w:p w14:paraId="639BA70A" w14:textId="77777777" w:rsidR="00CE7179" w:rsidRDefault="00497D35">
      <w:pPr>
        <w:pStyle w:val="Bibliography"/>
      </w:pPr>
      <w:r>
        <w:t xml:space="preserve">Klein, AM, BE Vaissière, JH Cane, I Steffan-Dewenter, SA Cunningham, C Kremen, and T Tscharntke. 2007. “Importance of Pollinators in Changing Landscapes for World Crops.” </w:t>
      </w:r>
      <w:r>
        <w:rPr>
          <w:i/>
        </w:rPr>
        <w:t>Proc. R. Soc. B</w:t>
      </w:r>
      <w:r>
        <w:t xml:space="preserve"> 274: 303–13.</w:t>
      </w:r>
    </w:p>
    <w:p w14:paraId="65641361" w14:textId="77777777" w:rsidR="00CE7179" w:rsidRDefault="00497D35">
      <w:pPr>
        <w:pStyle w:val="Bibliography"/>
      </w:pPr>
      <w:r>
        <w:t>Kremen, C. 2008. “Bee Pollinators in Agricultural Ecosystems.” In, 10–26. New York: Oxford University Press.</w:t>
      </w:r>
    </w:p>
    <w:p w14:paraId="4B486DE5" w14:textId="77777777" w:rsidR="00CE7179" w:rsidRDefault="00497D35">
      <w:pPr>
        <w:pStyle w:val="Bibliography"/>
      </w:pPr>
      <w:r>
        <w:t xml:space="preserve">Kremen, C, NM Williams, and RW Thorp. 2002. “Crop Pollination from Native Bees at Risk from Agricultural Intensification.” </w:t>
      </w:r>
      <w:r>
        <w:rPr>
          <w:i/>
        </w:rPr>
        <w:t>Proc. Natl. Acad. Sci. USA</w:t>
      </w:r>
      <w:r>
        <w:t xml:space="preserve"> 99: 16812–16.</w:t>
      </w:r>
    </w:p>
    <w:p w14:paraId="34ACB51F" w14:textId="77777777" w:rsidR="00CE7179" w:rsidRDefault="00497D35">
      <w:pPr>
        <w:pStyle w:val="Bibliography"/>
      </w:pPr>
      <w:r>
        <w:t xml:space="preserve">Kremen, C, NM Williams, RL Bugg, JP Fay, and RW Thorp. 2004. “The Area Requirements of an Ecosystem Service: Crop Pollination by Native Bee Communities in California.” </w:t>
      </w:r>
      <w:r>
        <w:rPr>
          <w:i/>
        </w:rPr>
        <w:t>Ecol. Lett.</w:t>
      </w:r>
      <w:r>
        <w:t xml:space="preserve"> 7: 1109–19.</w:t>
      </w:r>
    </w:p>
    <w:p w14:paraId="60AD3250" w14:textId="77777777" w:rsidR="00CE7179" w:rsidRDefault="00497D35">
      <w:pPr>
        <w:pStyle w:val="Bibliography"/>
      </w:pPr>
      <w:r>
        <w:t xml:space="preserve">Kremen, Claire, and Leithen K. M’Gonigle. 2015. “Small-Scale Restoration in Intensive Agricultural Landscapes Supports More Specialized and Less Mobile Pollinator Species.” </w:t>
      </w:r>
      <w:r>
        <w:rPr>
          <w:i/>
        </w:rPr>
        <w:t>J. Appl. Ecol.</w:t>
      </w:r>
      <w:r>
        <w:t xml:space="preserve"> 52: 602–10.</w:t>
      </w:r>
    </w:p>
    <w:p w14:paraId="6F700EE9" w14:textId="77777777" w:rsidR="00CE7179" w:rsidRDefault="00497D35">
      <w:pPr>
        <w:pStyle w:val="Bibliography"/>
      </w:pPr>
      <w:r>
        <w:t xml:space="preserve">Kuznetsova, Alexandra, Per Bruun Brockhoff, and Rune Haubo Bojesen Christensen. 2014. </w:t>
      </w:r>
      <w:r>
        <w:rPr>
          <w:i/>
        </w:rPr>
        <w:t>lmerTest: Tests for Random and Fixed Effects for Linear Mixed Effect Models (Lmer Objects of Lme4 Package).</w:t>
      </w:r>
      <w:r>
        <w:t xml:space="preserve"> </w:t>
      </w:r>
      <w:hyperlink r:id="rId17">
        <w:r>
          <w:rPr>
            <w:rStyle w:val="Link"/>
          </w:rPr>
          <w:t>http://CRAN.R-project.org/package=lmerTest</w:t>
        </w:r>
      </w:hyperlink>
      <w:r>
        <w:t>.</w:t>
      </w:r>
    </w:p>
    <w:p w14:paraId="38F8F768" w14:textId="77777777" w:rsidR="00CE7179" w:rsidRDefault="00497D35">
      <w:pPr>
        <w:pStyle w:val="Bibliography"/>
      </w:pPr>
      <w:r>
        <w:t xml:space="preserve">May, Robert M. 1972. “Will a Large Complex System Be Stable?” </w:t>
      </w:r>
      <w:r>
        <w:rPr>
          <w:i/>
        </w:rPr>
        <w:t>Nature</w:t>
      </w:r>
      <w:r>
        <w:t xml:space="preserve"> 238: 413–14.</w:t>
      </w:r>
    </w:p>
    <w:p w14:paraId="423826E0" w14:textId="77777777" w:rsidR="00CE7179" w:rsidRDefault="00497D35">
      <w:pPr>
        <w:pStyle w:val="Bibliography"/>
      </w:pPr>
      <w:r>
        <w:t xml:space="preserve">Memmott, J., N. M. Waser, and M. V. Price. 2004. “Tolerance of Pollination Networks to Species Extinctions.” </w:t>
      </w:r>
      <w:r>
        <w:rPr>
          <w:i/>
        </w:rPr>
        <w:t>Proc. R. Soc. Lond. B</w:t>
      </w:r>
      <w:r>
        <w:t xml:space="preserve"> 271: 2605–11.</w:t>
      </w:r>
    </w:p>
    <w:p w14:paraId="7F382DE5" w14:textId="77777777" w:rsidR="00CE7179" w:rsidRDefault="00497D35">
      <w:pPr>
        <w:pStyle w:val="Bibliography"/>
      </w:pPr>
      <w:r>
        <w:t xml:space="preserve">Menz, MHM, RD Phillips, R Winfree, C Kremen, MA Aizen, SD Johnson, and KW Dixon. 2010. “Reconnecting Plants and Pollinators: Challenges in the Restoration of Pollination Mutualisms.” </w:t>
      </w:r>
      <w:r>
        <w:rPr>
          <w:i/>
        </w:rPr>
        <w:t>Trends Plant Sci.</w:t>
      </w:r>
      <w:r>
        <w:t xml:space="preserve"> 16: 4–12.</w:t>
      </w:r>
    </w:p>
    <w:p w14:paraId="2945B82F" w14:textId="77777777" w:rsidR="00CE7179" w:rsidRDefault="00497D35">
      <w:pPr>
        <w:pStyle w:val="Bibliography"/>
      </w:pPr>
      <w:r>
        <w:lastRenderedPageBreak/>
        <w:t xml:space="preserve">Montoya, José M, Stuart L Pimm, and Ricard V Solé. 2006. “Ecological Networks and Their Fragility.” </w:t>
      </w:r>
      <w:r>
        <w:rPr>
          <w:i/>
        </w:rPr>
        <w:t>Nature</w:t>
      </w:r>
      <w:r>
        <w:t xml:space="preserve"> 442 (7100). Nature Publishing Group: 259–64.</w:t>
      </w:r>
    </w:p>
    <w:p w14:paraId="72B79EA4" w14:textId="77777777" w:rsidR="00CE7179" w:rsidRDefault="00497D35">
      <w:pPr>
        <w:pStyle w:val="Bibliography"/>
      </w:pPr>
      <w:r>
        <w:t xml:space="preserve">Morandin, LA, and C Kremen. 2013. “Hedgerow Restoration Promotes Pollinator Populations and Exports Native Bees to Adjacent Fields.” </w:t>
      </w:r>
      <w:r>
        <w:rPr>
          <w:i/>
        </w:rPr>
        <w:t>Ecol. Appl.</w:t>
      </w:r>
      <w:r>
        <w:t xml:space="preserve"> 23: 829–39.</w:t>
      </w:r>
    </w:p>
    <w:p w14:paraId="094DE2EE" w14:textId="77777777" w:rsidR="00CE7179" w:rsidRDefault="00497D35">
      <w:pPr>
        <w:pStyle w:val="Bibliography"/>
      </w:pPr>
      <w:r>
        <w:t xml:space="preserve">M’Gonigle, Leithen K, Neal M Williams, Eric Lonsdorf, and Claire Kremen. 2016. “A Tool for Selecting Plants When Restoring Habitat for Pollinators.” </w:t>
      </w:r>
      <w:r>
        <w:rPr>
          <w:i/>
        </w:rPr>
        <w:t>Conserv. Lett.</w:t>
      </w:r>
      <w:r>
        <w:t xml:space="preserve"> Wiley Online Library.</w:t>
      </w:r>
    </w:p>
    <w:p w14:paraId="0C0786ED" w14:textId="77777777" w:rsidR="00CE7179" w:rsidRDefault="00497D35">
      <w:pPr>
        <w:pStyle w:val="Bibliography"/>
      </w:pPr>
      <w:r>
        <w:t xml:space="preserve">M’Gonigle, LK, LC Ponisio, K Cutler, and C Kremen. 2015. “Habitat Restoration Promotes Pollinator Persistence and Colonization in Intensively-Managed Agriculture.” </w:t>
      </w:r>
      <w:r>
        <w:rPr>
          <w:i/>
        </w:rPr>
        <w:t>Ecol. Appl.</w:t>
      </w:r>
      <w:r>
        <w:t xml:space="preserve"> 25: 1557–65.</w:t>
      </w:r>
    </w:p>
    <w:p w14:paraId="17CFE9FF" w14:textId="77777777" w:rsidR="00CE7179" w:rsidRDefault="00497D35">
      <w:pPr>
        <w:pStyle w:val="Bibliography"/>
      </w:pPr>
      <w:r>
        <w:t xml:space="preserve">Neumann, P., and N. L. Carreck. 2010. “Honey Bee Colony Losses.” </w:t>
      </w:r>
      <w:r>
        <w:rPr>
          <w:i/>
        </w:rPr>
        <w:t>J. Api. Res.</w:t>
      </w:r>
      <w:r>
        <w:t xml:space="preserve"> 49: 1–6.</w:t>
      </w:r>
    </w:p>
    <w:p w14:paraId="1E50A272" w14:textId="77777777" w:rsidR="00CE7179" w:rsidRDefault="00497D35">
      <w:pPr>
        <w:pStyle w:val="Bibliography"/>
      </w:pPr>
      <w:r>
        <w:t xml:space="preserve">Newman, M. E. J., and M Girvan. 2004. “Finding and Evaluating Community Structure in Networks.” </w:t>
      </w:r>
      <w:r>
        <w:rPr>
          <w:i/>
        </w:rPr>
        <w:t>Phys. Rev. E</w:t>
      </w:r>
      <w:r>
        <w:t xml:space="preserve"> 69: 026113.</w:t>
      </w:r>
    </w:p>
    <w:p w14:paraId="1674BBD8" w14:textId="77777777" w:rsidR="00CE7179" w:rsidRDefault="00497D35">
      <w:pPr>
        <w:pStyle w:val="Bibliography"/>
      </w:pPr>
      <w:r>
        <w:t xml:space="preserve">Nuismer, Scott L., Pedro Jordano, and Jordi Bascompte. 2013. “Coevolution and the Architecture of Mutualistic Networks.” </w:t>
      </w:r>
      <w:r>
        <w:rPr>
          <w:i/>
        </w:rPr>
        <w:t>Evolution</w:t>
      </w:r>
      <w:r>
        <w:t xml:space="preserve"> 67 (2): 338–54.</w:t>
      </w:r>
    </w:p>
    <w:p w14:paraId="17570B70" w14:textId="77777777" w:rsidR="00CE7179" w:rsidRDefault="00497D35">
      <w:pPr>
        <w:pStyle w:val="Bibliography"/>
      </w:pPr>
      <w:r>
        <w:t xml:space="preserve">Olesen, J. M., J Bascompte, H Elberling, and P Jordano. 2008. “Temporal Dynamics in a Pollination Network.” </w:t>
      </w:r>
      <w:r>
        <w:rPr>
          <w:i/>
        </w:rPr>
        <w:t>Ecology</w:t>
      </w:r>
      <w:r>
        <w:t xml:space="preserve"> 89: 1573.</w:t>
      </w:r>
    </w:p>
    <w:p w14:paraId="015E837C" w14:textId="77777777" w:rsidR="00CE7179" w:rsidRDefault="00497D35">
      <w:pPr>
        <w:pStyle w:val="Bibliography"/>
      </w:pPr>
      <w:r>
        <w:t xml:space="preserve">Olesen, J. M., J. Bascompte, Y. Dupont, and P. Jordano. 2007. “The Modularity of Pollination Networks.” </w:t>
      </w:r>
      <w:r>
        <w:rPr>
          <w:i/>
        </w:rPr>
        <w:t>Proc. Natl. Acad. Sci. USA</w:t>
      </w:r>
      <w:r>
        <w:t xml:space="preserve"> 104: 19891–96.</w:t>
      </w:r>
    </w:p>
    <w:p w14:paraId="21E6DD94" w14:textId="77777777" w:rsidR="00CE7179" w:rsidRDefault="00497D35">
      <w:pPr>
        <w:pStyle w:val="Bibliography"/>
      </w:pPr>
      <w:r>
        <w:t xml:space="preserve">Ollerton, J, R Winfree, and S Tarrant. 2011. “How Many Flowering Plants Are Pollinated by Animals?” </w:t>
      </w:r>
      <w:r>
        <w:rPr>
          <w:i/>
        </w:rPr>
        <w:t>Oikos</w:t>
      </w:r>
      <w:r>
        <w:t xml:space="preserve"> 120: 321–26.</w:t>
      </w:r>
    </w:p>
    <w:p w14:paraId="30CF2CB7" w14:textId="77777777" w:rsidR="00CE7179" w:rsidRDefault="00497D35">
      <w:pPr>
        <w:pStyle w:val="Bibliography"/>
      </w:pPr>
      <w:r>
        <w:t xml:space="preserve">Parker, V Thomas. 1997. “The Scale of Successional Models and Restoration Objectives.” </w:t>
      </w:r>
      <w:r>
        <w:rPr>
          <w:i/>
        </w:rPr>
        <w:t>Restoration Ecology</w:t>
      </w:r>
      <w:r>
        <w:t xml:space="preserve"> 5 (4). Wiley Online Library: 301–6.</w:t>
      </w:r>
    </w:p>
    <w:p w14:paraId="16F3456F" w14:textId="77777777" w:rsidR="00CE7179" w:rsidRDefault="00497D35">
      <w:pPr>
        <w:pStyle w:val="Bibliography"/>
      </w:pPr>
      <w:r>
        <w:t xml:space="preserve">Peel, Leto, and Aaron Clauset. 2014. “Detecting Change Points in the Large-Scale Structure of Evolving Networks.” </w:t>
      </w:r>
      <w:r>
        <w:rPr>
          <w:i/>
        </w:rPr>
        <w:t>ArXiv Preprint ArXiv:1403.0989</w:t>
      </w:r>
      <w:r>
        <w:t>.</w:t>
      </w:r>
    </w:p>
    <w:p w14:paraId="0DBB6019" w14:textId="77777777" w:rsidR="00CE7179" w:rsidRDefault="00497D35">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 </w:t>
      </w:r>
      <w:r>
        <w:rPr>
          <w:i/>
        </w:rPr>
        <w:t>Ecol. Lett.</w:t>
      </w:r>
      <w:r>
        <w:t xml:space="preserve"> 11: 564–75.</w:t>
      </w:r>
    </w:p>
    <w:p w14:paraId="686253B8" w14:textId="77777777" w:rsidR="00CE7179" w:rsidRDefault="00497D35">
      <w:pPr>
        <w:pStyle w:val="Bibliography"/>
      </w:pPr>
      <w:r>
        <w:t xml:space="preserve">Pimm, Stuart L. 1984. “The Complexity and Stability of Ecosystems.” </w:t>
      </w:r>
      <w:r>
        <w:rPr>
          <w:i/>
        </w:rPr>
        <w:t>Nature</w:t>
      </w:r>
      <w:r>
        <w:t xml:space="preserve"> 307 (5949): 321–26.</w:t>
      </w:r>
    </w:p>
    <w:p w14:paraId="1F32979E" w14:textId="77777777" w:rsidR="00CE7179" w:rsidRDefault="00497D35">
      <w:pPr>
        <w:pStyle w:val="Bibliography"/>
      </w:pPr>
      <w:r>
        <w:t xml:space="preserve">Ponisio, Lauren C, Leithen K M’Gonigle, and Claire Kremen. 2016. “On-Farm Habitat Restoration Counters Biotic Homogenization in Intensively Managed Agriculture.” </w:t>
      </w:r>
      <w:r>
        <w:rPr>
          <w:i/>
        </w:rPr>
        <w:t>Global Change Biol.</w:t>
      </w:r>
      <w:r>
        <w:t xml:space="preserve"> 22 (2). Wiley Online Library: 704–15.</w:t>
      </w:r>
    </w:p>
    <w:p w14:paraId="72EF5B6B" w14:textId="77777777" w:rsidR="00CE7179" w:rsidRDefault="00497D35">
      <w:pPr>
        <w:pStyle w:val="Bibliography"/>
      </w:pPr>
      <w:r>
        <w:t xml:space="preserve">Pyke, Graham H. 1984. “Optimal Foraging Theory: A Critical Review.” </w:t>
      </w:r>
      <w:r>
        <w:rPr>
          <w:i/>
        </w:rPr>
        <w:t>Annu. Rev. Ecol. Evol. Syst.</w:t>
      </w:r>
      <w:r>
        <w:t xml:space="preserve"> JSTOR, 523–75.</w:t>
      </w:r>
    </w:p>
    <w:p w14:paraId="6392FB99" w14:textId="77777777" w:rsidR="00CE7179" w:rsidRDefault="00497D35">
      <w:pPr>
        <w:pStyle w:val="Bibliography"/>
      </w:pPr>
      <w:r>
        <w:lastRenderedPageBreak/>
        <w:t xml:space="preserve">R Core Team. 2015. </w:t>
      </w:r>
      <w:r>
        <w:rPr>
          <w:i/>
        </w:rPr>
        <w:t>R: A Language and Environment for Statistical Computing</w:t>
      </w:r>
      <w:r>
        <w:t xml:space="preserve">. Vienna, Austria: R Foundation for Statistical Computing. </w:t>
      </w:r>
      <w:hyperlink r:id="rId18">
        <w:r>
          <w:rPr>
            <w:rStyle w:val="Link"/>
          </w:rPr>
          <w:t>http://www.R-project.org/</w:t>
        </w:r>
      </w:hyperlink>
      <w:r>
        <w:t>.</w:t>
      </w:r>
    </w:p>
    <w:p w14:paraId="18CB13CC" w14:textId="77777777" w:rsidR="00CE7179" w:rsidRDefault="00497D35">
      <w:pPr>
        <w:pStyle w:val="Bibliography"/>
      </w:pPr>
      <w:r>
        <w:t xml:space="preserve">Ramos-Jiliberto, Rodrigo, Fernanda S Valdovinos, Pablo Moisset de Espanés, and Jose D Flores. 2012. “Topological Plasticity Increases Robustness of Mutualistic Networks.” </w:t>
      </w:r>
      <w:r>
        <w:rPr>
          <w:i/>
        </w:rPr>
        <w:t>J. Anim. Ecol.</w:t>
      </w:r>
      <w:r>
        <w:t xml:space="preserve"> 81 (4). Wiley Online Library: 896–904.</w:t>
      </w:r>
    </w:p>
    <w:p w14:paraId="41C32C36" w14:textId="77777777" w:rsidR="00CE7179" w:rsidRDefault="00497D35">
      <w:pPr>
        <w:pStyle w:val="Bibliography"/>
      </w:pPr>
      <w:r>
        <w:t xml:space="preserve">Rezende, Enrico L, Jessica E Lavabre, Paulo R Guimarães, Pedro Jordano, and Jordi Bascompte. 2007. “Non-Random Coextinctions in Phylogenetically Structured Mutualistic Networks.” </w:t>
      </w:r>
      <w:r>
        <w:rPr>
          <w:i/>
        </w:rPr>
        <w:t>Nature</w:t>
      </w:r>
      <w:r>
        <w:t xml:space="preserve"> 448 (7156). Nature Publishing Group: 925–28.</w:t>
      </w:r>
    </w:p>
    <w:p w14:paraId="7783E8CF" w14:textId="77777777" w:rsidR="00CE7179" w:rsidRDefault="00497D35">
      <w:pPr>
        <w:pStyle w:val="Bibliography"/>
      </w:pPr>
      <w:r>
        <w:t xml:space="preserve">Santamaría, Miguel A, Luis AND Rodríguez-Gironés. 2007. “Linkage Rules for Plant–Pollinator Networks: Trait Complementarity or Exploitation Barriers?” </w:t>
      </w:r>
      <w:r>
        <w:rPr>
          <w:i/>
        </w:rPr>
        <w:t>PLoS Biol.</w:t>
      </w:r>
      <w:r>
        <w:t xml:space="preserve"> 5. Public Library of Science: e31.</w:t>
      </w:r>
    </w:p>
    <w:p w14:paraId="1A873B32" w14:textId="77777777" w:rsidR="00CE7179" w:rsidRDefault="00497D35">
      <w:pPr>
        <w:pStyle w:val="Bibliography"/>
      </w:pPr>
      <w:r>
        <w:t xml:space="preserve">Stang, M, PGL Klinkhamer, N. M. Waser, I Stang, and Meijden E van der. 2009. “Size-Specific Interaction Patterns and Size Matching in a Plant-Pollinator Interaction Web.” </w:t>
      </w:r>
      <w:r>
        <w:rPr>
          <w:i/>
        </w:rPr>
        <w:t>Ann. Bot.</w:t>
      </w:r>
      <w:r>
        <w:t xml:space="preserve"> 103 (1459–1469).</w:t>
      </w:r>
    </w:p>
    <w:p w14:paraId="50F6B984" w14:textId="77777777" w:rsidR="00CE7179" w:rsidRDefault="00497D35">
      <w:pPr>
        <w:pStyle w:val="Bibliography"/>
      </w:pPr>
      <w:r>
        <w:t xml:space="preserve">Stang, Martina, Peter GL Klinkhamer, and Eddy Van Der Meijden. 2006. “Size Constraints and Flower Abundance Determine the Number of Interactions in a Plant–flower Visitor Web.” </w:t>
      </w:r>
      <w:r>
        <w:rPr>
          <w:i/>
        </w:rPr>
        <w:t>Oikos</w:t>
      </w:r>
      <w:r>
        <w:t xml:space="preserve"> 112 (1). Wiley Online Library: 111–21.</w:t>
      </w:r>
    </w:p>
    <w:p w14:paraId="2437DA51" w14:textId="77777777" w:rsidR="00CE7179" w:rsidRDefault="00497D35">
      <w:pPr>
        <w:pStyle w:val="Bibliography"/>
      </w:pPr>
      <w:r>
        <w:t xml:space="preserve">Thébault, Elisa, and Colin Fontaine. 2010. “Stability of Ecological Communities and the Architecture of Mutualistic and Trophic Networks.” </w:t>
      </w:r>
      <w:r>
        <w:rPr>
          <w:i/>
        </w:rPr>
        <w:t>Science</w:t>
      </w:r>
      <w:r>
        <w:t xml:space="preserve"> 329 (5993). American Association for the Advancement of Science: 853–56.</w:t>
      </w:r>
    </w:p>
    <w:p w14:paraId="0DBF1558" w14:textId="77777777" w:rsidR="00CE7179" w:rsidRDefault="00497D35">
      <w:pPr>
        <w:pStyle w:val="Bibliography"/>
      </w:pPr>
      <w:r>
        <w:t xml:space="preserve">Valdovinos, Fernanda S, Pablo Moisset de Espanés, José D Flores, and Rodrigo Ramos-Jiliberto. 2013. “Adaptive Foraging Allows the Maintenance of Biodiversity of Pollination Networks.” </w:t>
      </w:r>
      <w:r>
        <w:rPr>
          <w:i/>
        </w:rPr>
        <w:t>Oikos</w:t>
      </w:r>
      <w:r>
        <w:t xml:space="preserve"> 122 (6). Wiley Online Library: 907–17.</w:t>
      </w:r>
    </w:p>
    <w:p w14:paraId="76A2821E" w14:textId="77777777" w:rsidR="00CE7179" w:rsidRDefault="00497D35">
      <w:pPr>
        <w:pStyle w:val="Bibliography"/>
      </w:pPr>
      <w:r>
        <w:t xml:space="preserve">Valdovinos, Fernanda S, Rodrigo Ramos-Jiliberto, Leslie Garay-Narváez, Pasquinell Urbani, and Jennifer A Dunne. 2010. “Consequences of Adaptive Behaviour for the Structure and Dynamics of Food Webs.” </w:t>
      </w:r>
      <w:r>
        <w:rPr>
          <w:i/>
        </w:rPr>
        <w:t>Ecology Letters</w:t>
      </w:r>
      <w:r>
        <w:t xml:space="preserve"> 13 (12). Wiley Online Library: 1546–59.</w:t>
      </w:r>
    </w:p>
    <w:p w14:paraId="5366BF18" w14:textId="77777777" w:rsidR="00CE7179" w:rsidRDefault="00497D35">
      <w:pPr>
        <w:pStyle w:val="Bibliography"/>
      </w:pPr>
      <w:r>
        <w:t xml:space="preserve">Vázquez, D. P., N. Blüthgen, L. Cagnolo, and N. P. Chacoff. 2009. “Uniting Pattern and Process in Plant-Animal Mutualistic Networks: A Review.” </w:t>
      </w:r>
      <w:r>
        <w:rPr>
          <w:i/>
        </w:rPr>
        <w:t>Ann. of Bot.</w:t>
      </w:r>
      <w:r>
        <w:t xml:space="preserve"> 103 (9): 1445–57.</w:t>
      </w:r>
    </w:p>
    <w:p w14:paraId="27BDE1D9" w14:textId="77777777" w:rsidR="00CE7179" w:rsidRDefault="00497D35">
      <w:pPr>
        <w:pStyle w:val="Bibliography"/>
      </w:pPr>
      <w:r>
        <w:t xml:space="preserve">Vázquez, Diego P, Natacha P Chacoff, and Luciano Cagnolo. 2009. “Evaluating Multiple Determinants of the Structure of Plant-Animal Mutualistic Networks.” </w:t>
      </w:r>
      <w:r>
        <w:rPr>
          <w:i/>
        </w:rPr>
        <w:t>Ecology</w:t>
      </w:r>
      <w:r>
        <w:t xml:space="preserve"> 90 (8). Eco Soc America: 2039–46.</w:t>
      </w:r>
    </w:p>
    <w:p w14:paraId="3A8E0B6A" w14:textId="77777777" w:rsidR="00CE7179" w:rsidRDefault="00497D35">
      <w:pPr>
        <w:pStyle w:val="Bibliography"/>
      </w:pPr>
      <w:r>
        <w:t xml:space="preserve">Vázquez, Diego P. 2005. “Degree Distribution in Plant-Animal Mutualistic Networks: Forbidden Links or Random Interactions?” </w:t>
      </w:r>
      <w:r>
        <w:rPr>
          <w:i/>
        </w:rPr>
        <w:t>Oikos</w:t>
      </w:r>
      <w:r>
        <w:t xml:space="preserve"> 108 (2). Munksgaard International Publishers: 421–26.</w:t>
      </w:r>
    </w:p>
    <w:p w14:paraId="7658A338" w14:textId="77777777" w:rsidR="00CE7179" w:rsidRDefault="00497D35">
      <w:pPr>
        <w:pStyle w:val="Bibliography"/>
      </w:pPr>
      <w:r>
        <w:t xml:space="preserve">Waser, N. M., L. Chittka, M. V. Price, N. M. Williams, and J. Ollerton. 1996. “Generalization in Pollination Systems, and Why It Matters.” </w:t>
      </w:r>
      <w:r>
        <w:rPr>
          <w:i/>
        </w:rPr>
        <w:t>Ecology</w:t>
      </w:r>
      <w:r>
        <w:t xml:space="preserve"> 77: 1043.</w:t>
      </w:r>
    </w:p>
    <w:p w14:paraId="417A80A6" w14:textId="77777777" w:rsidR="00CE7179" w:rsidRDefault="00497D35">
      <w:pPr>
        <w:pStyle w:val="Bibliography"/>
      </w:pPr>
      <w:r>
        <w:lastRenderedPageBreak/>
        <w:t xml:space="preserve">Winfree, R, NM Williams, J Dushoff, and C Kremen. 2007. “Native Bees Provide Insurance Against Ongoing Honey Bee Losses.” </w:t>
      </w:r>
      <w:r>
        <w:rPr>
          <w:i/>
        </w:rPr>
        <w:t>Ecol. Lett.</w:t>
      </w:r>
      <w:r>
        <w:t xml:space="preserve"> 10: 1105–13.</w:t>
      </w:r>
    </w:p>
    <w:sectPr w:rsidR="00CE7179">
      <w:footerReference w:type="even" r:id="rId19"/>
      <w:footerReference w:type="default" r:id="rId20"/>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ulo Guimaraes" w:date="2016-09-28T22:58:00Z" w:initials="PG">
    <w:p w14:paraId="1840F256" w14:textId="77777777" w:rsidR="00423047" w:rsidRDefault="00423047">
      <w:pPr>
        <w:pStyle w:val="CommentText"/>
      </w:pPr>
      <w:r>
        <w:rPr>
          <w:rStyle w:val="CommentReference"/>
        </w:rPr>
        <w:annotationRef/>
      </w:r>
      <w:r>
        <w:t>How many?</w:t>
      </w:r>
    </w:p>
  </w:comment>
  <w:comment w:id="1" w:author="Paulo Guimaraes" w:date="2016-09-28T23:03:00Z" w:initials="PG">
    <w:p w14:paraId="7B94847F" w14:textId="7BFCB3A6" w:rsidR="00423047" w:rsidRDefault="00423047">
      <w:pPr>
        <w:pStyle w:val="CommentText"/>
      </w:pPr>
      <w:r>
        <w:rPr>
          <w:rStyle w:val="CommentReference"/>
        </w:rPr>
        <w:annotationRef/>
      </w:r>
      <w:r>
        <w:t>I think someone not familiarized with California will have a hard time in following this sentence.</w:t>
      </w:r>
    </w:p>
  </w:comment>
  <w:comment w:id="2" w:author="Paulo Guimaraes" w:date="2016-09-28T23:05:00Z" w:initials="PG">
    <w:p w14:paraId="08F47BE0" w14:textId="02D8095C" w:rsidR="00423047" w:rsidRDefault="00423047">
      <w:pPr>
        <w:pStyle w:val="CommentText"/>
      </w:pPr>
      <w:r>
        <w:rPr>
          <w:rStyle w:val="CommentReference"/>
        </w:rPr>
        <w:annotationRef/>
      </w:r>
      <w:r>
        <w:t xml:space="preserve">Preferential attachment is a jargon not everybody is familiarized with. Moreover, I’m not sure about what PA predicts for variation in roles since the original model, but I should stop now and read the introduction again </w:t>
      </w:r>
      <w:r>
        <w:sym w:font="Wingdings" w:char="F04A"/>
      </w:r>
      <w:r>
        <w:t>.</w:t>
      </w:r>
    </w:p>
  </w:comment>
  <w:comment w:id="3" w:author="Paulo Guimaraes" w:date="2016-09-28T23:08:00Z" w:initials="PG">
    <w:p w14:paraId="1C39F2E1" w14:textId="372B8778" w:rsidR="00423047" w:rsidRDefault="00423047">
      <w:pPr>
        <w:pStyle w:val="CommentText"/>
      </w:pPr>
      <w:r>
        <w:rPr>
          <w:rStyle w:val="CommentReference"/>
        </w:rPr>
        <w:annotationRef/>
      </w:r>
      <w:r>
        <w:t>I missed a more clear organization of the abstract. For example, I read this sentence and my feeling is that this sentence should show up earlier in the draft.</w:t>
      </w:r>
    </w:p>
  </w:comment>
  <w:comment w:id="4" w:author="Lauren Ponisio" w:date="2016-10-04T13:27:00Z" w:initials="LP">
    <w:p w14:paraId="22CE4978" w14:textId="543CD34E" w:rsidR="008D5A3E" w:rsidRDefault="008D5A3E">
      <w:pPr>
        <w:pStyle w:val="CommentText"/>
      </w:pPr>
      <w:r>
        <w:rPr>
          <w:rStyle w:val="CommentReference"/>
        </w:rPr>
        <w:annotationRef/>
      </w:r>
      <w:r>
        <w:t>Ouch!</w:t>
      </w:r>
    </w:p>
  </w:comment>
  <w:comment w:id="6" w:author="Paulo Guimaraes" w:date="2016-09-28T23:13:00Z" w:initials="PG">
    <w:p w14:paraId="790600C5" w14:textId="3DF97DC3" w:rsidR="00423047" w:rsidRDefault="00423047">
      <w:pPr>
        <w:pStyle w:val="CommentText"/>
      </w:pPr>
      <w:r>
        <w:rPr>
          <w:rStyle w:val="CommentReference"/>
        </w:rPr>
        <w:annotationRef/>
      </w:r>
      <w:r>
        <w:t xml:space="preserve">Note that PA is a probabilistic model. As a consequence, there is room for reorganization and changes in the importance of interacting elements. </w:t>
      </w:r>
    </w:p>
  </w:comment>
  <w:comment w:id="9" w:author="Lauren Ponisio" w:date="2016-10-04T13:28:00Z" w:initials="LP">
    <w:p w14:paraId="7274ADF4" w14:textId="591639AA" w:rsidR="00CF6A30" w:rsidRDefault="00CF6A30">
      <w:pPr>
        <w:pStyle w:val="CommentText"/>
      </w:pPr>
      <w:r>
        <w:rPr>
          <w:rStyle w:val="CommentReference"/>
        </w:rPr>
        <w:annotationRef/>
      </w:r>
      <w:r>
        <w:t>Hm…. So you can have preferential attachment with big reorganizations of interactions? How to fix?</w:t>
      </w:r>
    </w:p>
  </w:comment>
  <w:comment w:id="10" w:author="Paulo Guimaraes" w:date="2016-09-28T23:16:00Z" w:initials="PG">
    <w:p w14:paraId="275A86C5" w14:textId="5856EB3E" w:rsidR="00423047" w:rsidRDefault="00423047">
      <w:pPr>
        <w:pStyle w:val="CommentText"/>
      </w:pPr>
      <w:r>
        <w:rPr>
          <w:rStyle w:val="CommentReference"/>
        </w:rPr>
        <w:annotationRef/>
      </w:r>
      <w:r>
        <w:t>Very nice</w:t>
      </w:r>
    </w:p>
  </w:comment>
  <w:comment w:id="11" w:author="Paulo Guimaraes" w:date="2016-09-28T23:19:00Z" w:initials="PG">
    <w:p w14:paraId="5F25A41C" w14:textId="7DD517FD" w:rsidR="00423047" w:rsidRDefault="00423047">
      <w:pPr>
        <w:pStyle w:val="CommentText"/>
      </w:pPr>
      <w:r>
        <w:rPr>
          <w:rStyle w:val="CommentReference"/>
        </w:rPr>
        <w:annotationRef/>
      </w:r>
      <w:r>
        <w:t>Evolving is often a complicated work. Are you thinking in evolutionary dynamics == Darwinian evolution? I think you are not but there is room for confusion.</w:t>
      </w:r>
    </w:p>
  </w:comment>
  <w:comment w:id="14" w:author="Lauren Ponisio" w:date="2016-10-04T13:29:00Z" w:initials="LP">
    <w:p w14:paraId="22D85041" w14:textId="26CF9BD3" w:rsidR="00683D48" w:rsidRDefault="00683D48">
      <w:pPr>
        <w:pStyle w:val="CommentText"/>
      </w:pPr>
      <w:r>
        <w:rPr>
          <w:rStyle w:val="CommentReference"/>
        </w:rPr>
        <w:annotationRef/>
      </w:r>
      <w:r>
        <w:t xml:space="preserve">How </w:t>
      </w:r>
      <w:r w:rsidR="00D50087">
        <w:t>to</w:t>
      </w:r>
      <w:r>
        <w:t xml:space="preserve"> fix?</w:t>
      </w:r>
    </w:p>
  </w:comment>
  <w:comment w:id="12" w:author="Paulo Guimaraes" w:date="2016-09-28T23:25:00Z" w:initials="PG">
    <w:p w14:paraId="53548A73" w14:textId="0F89F388" w:rsidR="00423047" w:rsidRDefault="00423047">
      <w:pPr>
        <w:pStyle w:val="CommentText"/>
      </w:pPr>
      <w:r>
        <w:rPr>
          <w:rStyle w:val="CommentReference"/>
        </w:rPr>
        <w:annotationRef/>
      </w:r>
      <w:r>
        <w:t>It is a well-written introduction. My only criticism – on style – is that every paragraph ends with a “little is known” sentence. If so many things are not known someon may ask if the problem is relevant at all.  Of course it is but this kind of text structure may not help.</w:t>
      </w:r>
    </w:p>
  </w:comment>
  <w:comment w:id="19" w:author="Lauren Ponisio" w:date="2016-10-04T13:29:00Z" w:initials="LP">
    <w:p w14:paraId="030D6F69" w14:textId="3723789D" w:rsidR="005D29E2" w:rsidRDefault="005D29E2">
      <w:pPr>
        <w:pStyle w:val="CommentText"/>
      </w:pPr>
      <w:r>
        <w:rPr>
          <w:rStyle w:val="CommentReference"/>
        </w:rPr>
        <w:annotationRef/>
      </w:r>
      <w:r>
        <w:t>Removed the word “smooth”. Does that fix it?</w:t>
      </w:r>
    </w:p>
  </w:comment>
  <w:comment w:id="18" w:author="Paulo Guimaraes" w:date="2016-09-28T23:51:00Z" w:initials="PG">
    <w:p w14:paraId="13331755" w14:textId="667AEB5A" w:rsidR="00423047" w:rsidRDefault="00423047">
      <w:pPr>
        <w:pStyle w:val="CommentText"/>
      </w:pPr>
      <w:r>
        <w:rPr>
          <w:rStyle w:val="CommentReference"/>
        </w:rPr>
        <w:annotationRef/>
      </w:r>
      <w:r>
        <w:t>In the Barabasi-Albert model time is recorded by nodes entering in the network. Each timestep is actually the arrival of the new node.  If species arrivals are concentrated in some periods we could represent as the smooth dynamics of the PA models even if there are bursts of species arriving in the system.</w:t>
      </w:r>
    </w:p>
  </w:comment>
  <w:comment w:id="22" w:author="Paulo Guimaraes" w:date="2016-09-28T23:57:00Z" w:initials="PG">
    <w:p w14:paraId="14A3D335" w14:textId="4ACF89AD" w:rsidR="00423047" w:rsidRDefault="00423047">
      <w:pPr>
        <w:pStyle w:val="CommentText"/>
      </w:pPr>
      <w:r>
        <w:rPr>
          <w:rStyle w:val="CommentReference"/>
        </w:rPr>
        <w:annotationRef/>
      </w:r>
      <w:r>
        <w:t>Is it ok to consider them independent plots?</w:t>
      </w:r>
    </w:p>
  </w:comment>
  <w:comment w:id="25" w:author="Paulo Guimaraes" w:date="2016-09-28T23:59:00Z" w:initials="PG">
    <w:p w14:paraId="07A54198" w14:textId="3D062C46" w:rsidR="00423047" w:rsidRDefault="00423047">
      <w:pPr>
        <w:pStyle w:val="CommentText"/>
      </w:pPr>
      <w:r>
        <w:rPr>
          <w:rStyle w:val="CommentReference"/>
        </w:rPr>
        <w:annotationRef/>
      </w:r>
      <w:r>
        <w:t>Of course you are right in using communities but communities has another meaning in ecological literature so better avoid confusion.</w:t>
      </w:r>
    </w:p>
  </w:comment>
  <w:comment w:id="34" w:author="Lauren Ponisio" w:date="2016-10-04T13:29:00Z" w:initials="LP">
    <w:p w14:paraId="09E11E76" w14:textId="50A1E68E" w:rsidR="00E32517" w:rsidRDefault="00E32517">
      <w:pPr>
        <w:pStyle w:val="CommentText"/>
      </w:pPr>
      <w:r>
        <w:rPr>
          <w:rStyle w:val="CommentReference"/>
        </w:rPr>
        <w:annotationRef/>
      </w:r>
      <w:r>
        <w:t>What is slice-off approach?</w:t>
      </w:r>
    </w:p>
  </w:comment>
  <w:comment w:id="32" w:author="Paulo Guimaraes" w:date="2016-09-29T00:02:00Z" w:initials="PG">
    <w:p w14:paraId="5ADBAA10" w14:textId="0B6EBC11" w:rsidR="00423047" w:rsidRDefault="00423047">
      <w:pPr>
        <w:pStyle w:val="CommentText"/>
      </w:pPr>
      <w:r>
        <w:rPr>
          <w:rStyle w:val="CommentReference"/>
        </w:rPr>
        <w:annotationRef/>
      </w:r>
      <w:r>
        <w:t>One way of doing this to a quantitative network is to use the slice-off approach we used in Tinker et al. 2012.</w:t>
      </w:r>
    </w:p>
  </w:comment>
  <w:comment w:id="38" w:author="Paulo Guimaraes" w:date="2016-09-29T00:08:00Z" w:initials="PG">
    <w:p w14:paraId="170ED9AD" w14:textId="46E106CD" w:rsidR="00423047" w:rsidRDefault="00423047">
      <w:pPr>
        <w:pStyle w:val="CommentText"/>
      </w:pPr>
      <w:r>
        <w:rPr>
          <w:rStyle w:val="CommentReference"/>
        </w:rPr>
        <w:annotationRef/>
      </w:r>
      <w:r>
        <w:t>How many?</w:t>
      </w:r>
    </w:p>
  </w:comment>
  <w:comment w:id="44" w:author="Lauren Ponisio" w:date="2016-10-04T13:30:00Z" w:initials="LP">
    <w:p w14:paraId="7B9A2993" w14:textId="1A79679D" w:rsidR="00C16FBD" w:rsidRDefault="00C16FBD">
      <w:pPr>
        <w:pStyle w:val="CommentText"/>
      </w:pPr>
      <w:r>
        <w:rPr>
          <w:rStyle w:val="CommentReference"/>
        </w:rPr>
        <w:annotationRef/>
      </w:r>
      <w:r>
        <w:t>I do not understand this sentence</w:t>
      </w:r>
    </w:p>
  </w:comment>
  <w:comment w:id="49" w:author="Paulo Guimaraes" w:date="2016-09-29T00:17:00Z" w:initials="PG">
    <w:p w14:paraId="1F02C724" w14:textId="77777777" w:rsidR="00423047" w:rsidRDefault="00423047">
      <w:pPr>
        <w:pStyle w:val="CommentText"/>
      </w:pPr>
      <w:r>
        <w:rPr>
          <w:rStyle w:val="CommentReference"/>
        </w:rPr>
        <w:annotationRef/>
      </w:r>
      <w:r>
        <w:t>If I remember correctly the preferential attachment does not predict a linear increase in the average smallest path length but APL=log(N)/log(log(N)).</w:t>
      </w:r>
    </w:p>
    <w:p w14:paraId="010A5CFE" w14:textId="77777777" w:rsidR="00423047" w:rsidRDefault="00423047">
      <w:pPr>
        <w:pStyle w:val="CommentText"/>
      </w:pPr>
    </w:p>
    <w:p w14:paraId="4F179CD3" w14:textId="080F1D1C" w:rsidR="00423047" w:rsidRDefault="00423047">
      <w:pPr>
        <w:pStyle w:val="CommentText"/>
      </w:pPr>
      <w:r>
        <w:t>Also, as you log-transformed the closeness centrality you are not tested a linear increase.</w:t>
      </w:r>
    </w:p>
  </w:comment>
  <w:comment w:id="53" w:author="Lauren Ponisio" w:date="2016-10-04T13:30:00Z" w:initials="LP">
    <w:p w14:paraId="3E88B41F" w14:textId="03585A0B" w:rsidR="00C16FBD" w:rsidRDefault="00C16FBD">
      <w:pPr>
        <w:pStyle w:val="CommentText"/>
      </w:pPr>
      <w:r>
        <w:rPr>
          <w:rStyle w:val="CommentReference"/>
        </w:rPr>
        <w:annotationRef/>
      </w:r>
      <w:r>
        <w:t>So it would be a logarithmic increase through time? Does taking the log of centrality fix this?</w:t>
      </w:r>
      <w:bookmarkStart w:id="55" w:name="_GoBack"/>
      <w:bookmarkEnd w:id="55"/>
    </w:p>
  </w:comment>
  <w:comment w:id="59" w:author="Paulo Guimaraes" w:date="2016-09-29T00:20:00Z" w:initials="PG">
    <w:p w14:paraId="6982A07A" w14:textId="3E0C5A53" w:rsidR="00423047" w:rsidRDefault="00423047">
      <w:pPr>
        <w:pStyle w:val="CommentText"/>
      </w:pPr>
      <w:r>
        <w:rPr>
          <w:rStyle w:val="CommentReference"/>
        </w:rPr>
        <w:annotationRef/>
      </w:r>
      <w:r>
        <w:t>I did not follow.</w:t>
      </w:r>
    </w:p>
  </w:comment>
  <w:comment w:id="67" w:author="Paulo Guimaraes" w:date="2016-09-29T00:29:00Z" w:initials="PG">
    <w:p w14:paraId="499D63EB" w14:textId="6B03A1D8" w:rsidR="00423047" w:rsidRDefault="00423047">
      <w:pPr>
        <w:pStyle w:val="CommentText"/>
      </w:pPr>
      <w:r>
        <w:rPr>
          <w:rStyle w:val="CommentReference"/>
        </w:rPr>
        <w:annotationRef/>
      </w:r>
      <w:r>
        <w:t>Actually the network is more vulnerable to cascading effects since they can propagate across the network easily due to the connectivity among modules illustrated by the AC.</w:t>
      </w:r>
    </w:p>
  </w:comment>
  <w:comment w:id="76" w:author="Paulo Guimaraes" w:date="2016-09-29T00:32:00Z" w:initials="PG">
    <w:p w14:paraId="3B4980C3" w14:textId="6544CAF6" w:rsidR="00423047" w:rsidRDefault="00423047">
      <w:pPr>
        <w:pStyle w:val="CommentText"/>
      </w:pPr>
      <w:r>
        <w:rPr>
          <w:rStyle w:val="CommentReference"/>
        </w:rPr>
        <w:annotationRef/>
      </w:r>
      <w:r>
        <w:t>The networks are significantly modular?</w:t>
      </w:r>
    </w:p>
  </w:comment>
  <w:comment w:id="78" w:author="Paulo Guimaraes" w:date="2016-09-29T00:32:00Z" w:initials="PG">
    <w:p w14:paraId="5982AC05" w14:textId="0BC5B8A6" w:rsidR="00423047" w:rsidRDefault="00423047">
      <w:pPr>
        <w:pStyle w:val="CommentText"/>
      </w:pPr>
      <w:r>
        <w:rPr>
          <w:rStyle w:val="CommentReference"/>
        </w:rPr>
        <w:annotationRef/>
      </w:r>
      <w:r>
        <w:t>See my comment in the methods.</w:t>
      </w:r>
    </w:p>
  </w:comment>
  <w:comment w:id="80" w:author="Paulo Guimaraes" w:date="2016-09-29T00:37:00Z" w:initials="PG">
    <w:p w14:paraId="69F839CF" w14:textId="0575033B" w:rsidR="00423047" w:rsidRDefault="00423047">
      <w:pPr>
        <w:pStyle w:val="CommentText"/>
      </w:pPr>
      <w:r>
        <w:rPr>
          <w:rStyle w:val="CommentReference"/>
        </w:rPr>
        <w:annotationRef/>
      </w:r>
      <w:r>
        <w:t>It is odd an entire discussion paragraph without any citation. There is no synthesis with the literature. The same is true, in some ways, for the previous paragraph.</w:t>
      </w:r>
    </w:p>
  </w:comment>
  <w:comment w:id="81" w:author="Paulo Guimaraes" w:date="2016-09-29T00:35:00Z" w:initials="PG">
    <w:p w14:paraId="1B2B3A2D" w14:textId="5CD87861" w:rsidR="00423047" w:rsidRDefault="00423047">
      <w:pPr>
        <w:pStyle w:val="CommentText"/>
      </w:pPr>
      <w:r>
        <w:rPr>
          <w:rStyle w:val="CommentReference"/>
        </w:rPr>
        <w:annotationRef/>
      </w:r>
      <w:r>
        <w:t>This change remembers me the findings of Diaz-Castelazo et al. Ecology on ant-plant mutualisms.</w:t>
      </w:r>
    </w:p>
  </w:comment>
  <w:comment w:id="82" w:author="Paulo Guimaraes" w:date="2016-09-29T00:39:00Z" w:initials="PG">
    <w:p w14:paraId="7509A979" w14:textId="433DE1D2" w:rsidR="00423047" w:rsidRDefault="00423047">
      <w:pPr>
        <w:pStyle w:val="CommentText"/>
      </w:pPr>
      <w:r>
        <w:rPr>
          <w:rStyle w:val="CommentReference"/>
        </w:rPr>
        <w:annotationRef/>
      </w:r>
      <w:r>
        <w:t>I think you need to put an effort in connecting your results with the literature a couple of citations of the end of paragraph (three citations total in two paragraphs all from the same research group) indicate superficial use of the literature.</w:t>
      </w:r>
    </w:p>
  </w:comment>
  <w:comment w:id="83" w:author="Paulo Guimaraes" w:date="2016-09-29T00:40:00Z" w:initials="PG">
    <w:p w14:paraId="380D168C" w14:textId="101ABDF6" w:rsidR="00423047" w:rsidRDefault="00423047">
      <w:pPr>
        <w:pStyle w:val="CommentText"/>
      </w:pPr>
      <w:r>
        <w:rPr>
          <w:rStyle w:val="CommentReference"/>
        </w:rPr>
        <w:annotationRef/>
      </w:r>
      <w:r>
        <w:t>I am not sure because you increase the generalization of the core species.</w:t>
      </w:r>
    </w:p>
  </w:comment>
  <w:comment w:id="84" w:author="Paulo Guimaraes" w:date="2016-09-29T00:41:00Z" w:initials="PG">
    <w:p w14:paraId="3D4C78F5" w14:textId="3D71285B" w:rsidR="00423047" w:rsidRDefault="00423047">
      <w:pPr>
        <w:pStyle w:val="CommentText"/>
      </w:pPr>
      <w:r>
        <w:rPr>
          <w:rStyle w:val="CommentReference"/>
        </w:rPr>
        <w:annotationRef/>
      </w:r>
      <w:r>
        <w:t>See my comments on the methods on AC.</w:t>
      </w:r>
    </w:p>
  </w:comment>
  <w:comment w:id="89" w:author="Paulo Guimaraes" w:date="2016-09-29T00:41:00Z" w:initials="PG">
    <w:p w14:paraId="3925F444" w14:textId="24D8892B" w:rsidR="00423047" w:rsidRDefault="00423047">
      <w:pPr>
        <w:pStyle w:val="CommentText"/>
      </w:pPr>
      <w:r>
        <w:rPr>
          <w:rStyle w:val="CommentReference"/>
        </w:rPr>
        <w:annotationRef/>
      </w:r>
      <w:r>
        <w:t>Please be careful when using stability: too many meanings.</w:t>
      </w:r>
    </w:p>
  </w:comment>
  <w:comment w:id="90" w:author="Paulo Guimaraes" w:date="2016-09-29T00:43:00Z" w:initials="PG">
    <w:p w14:paraId="70D7F71D" w14:textId="56EEA46D" w:rsidR="00423047" w:rsidRDefault="00423047">
      <w:pPr>
        <w:pStyle w:val="CommentText"/>
      </w:pPr>
      <w:r>
        <w:rPr>
          <w:rStyle w:val="CommentReference"/>
        </w:rPr>
        <w:annotationRef/>
      </w:r>
      <w:r>
        <w:t>None of them are truly mechanistic in the sense that we are actually describing how processes at a lower organization level operating. At best we are describing lower-organization  level processes in a mean-field and phenomenological way with a very weak link with empirical evidence.</w:t>
      </w:r>
    </w:p>
  </w:comment>
  <w:comment w:id="95" w:author="Paulo Guimaraes" w:date="2016-09-29T00:44:00Z" w:initials="PG">
    <w:p w14:paraId="120C55B6" w14:textId="7ADBFDD6" w:rsidR="00423047" w:rsidRDefault="00423047">
      <w:pPr>
        <w:pStyle w:val="CommentText"/>
      </w:pPr>
      <w:ins w:id="98" w:author="Paulo Guimaraes" w:date="2016-09-29T00:44:00Z">
        <w:r>
          <w:rPr>
            <w:rStyle w:val="CommentReference"/>
          </w:rPr>
          <w:annotationRef/>
        </w:r>
      </w:ins>
      <w:r>
        <w:t xml:space="preserve">Paulo Guimarães is my dad </w:t>
      </w:r>
      <w:r>
        <w:sym w:font="Wingdings" w:char="F04A"/>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C4EB2A" w14:textId="77777777" w:rsidR="00423047" w:rsidRDefault="00423047" w:rsidP="005D3081">
      <w:pPr>
        <w:spacing w:before="0" w:after="0"/>
      </w:pPr>
      <w:r>
        <w:separator/>
      </w:r>
    </w:p>
  </w:endnote>
  <w:endnote w:type="continuationSeparator" w:id="0">
    <w:p w14:paraId="297298E7" w14:textId="77777777" w:rsidR="00423047" w:rsidRDefault="00423047" w:rsidP="005D308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AD1D2" w14:textId="77777777" w:rsidR="00423047" w:rsidRDefault="00423047" w:rsidP="007F2AC7">
    <w:pPr>
      <w:pStyle w:val="Footer"/>
      <w:framePr w:wrap="around" w:vAnchor="text" w:hAnchor="margin" w:xAlign="right" w:y="1"/>
      <w:rPr>
        <w:ins w:id="99" w:author="Paulo Guimaraes" w:date="2016-09-28T23:10:00Z"/>
        <w:rStyle w:val="PageNumber"/>
      </w:rPr>
    </w:pPr>
    <w:ins w:id="100" w:author="Paulo Guimaraes" w:date="2016-09-28T23:10:00Z">
      <w:r>
        <w:rPr>
          <w:rStyle w:val="PageNumber"/>
        </w:rPr>
        <w:fldChar w:fldCharType="begin"/>
      </w:r>
      <w:r>
        <w:rPr>
          <w:rStyle w:val="PageNumber"/>
        </w:rPr>
        <w:instrText xml:space="preserve">PAGE  </w:instrText>
      </w:r>
      <w:r>
        <w:rPr>
          <w:rStyle w:val="PageNumber"/>
        </w:rPr>
        <w:fldChar w:fldCharType="end"/>
      </w:r>
    </w:ins>
  </w:p>
  <w:p w14:paraId="4C815EB3" w14:textId="77777777" w:rsidR="00423047" w:rsidRDefault="00423047">
    <w:pPr>
      <w:pStyle w:val="Footer"/>
      <w:ind w:right="360"/>
      <w:pPrChange w:id="101" w:author="Paulo Guimaraes" w:date="2016-09-28T23:10:00Z">
        <w:pPr>
          <w:pStyle w:val="Footer"/>
        </w:pPr>
      </w:pPrChan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E6719" w14:textId="77777777" w:rsidR="00423047" w:rsidRDefault="00423047" w:rsidP="007F2AC7">
    <w:pPr>
      <w:pStyle w:val="Footer"/>
      <w:framePr w:wrap="around" w:vAnchor="text" w:hAnchor="margin" w:xAlign="right" w:y="1"/>
      <w:rPr>
        <w:ins w:id="102" w:author="Paulo Guimaraes" w:date="2016-09-28T23:10:00Z"/>
        <w:rStyle w:val="PageNumber"/>
      </w:rPr>
    </w:pPr>
    <w:ins w:id="103" w:author="Paulo Guimaraes" w:date="2016-09-28T23:10:00Z">
      <w:r>
        <w:rPr>
          <w:rStyle w:val="PageNumber"/>
        </w:rPr>
        <w:fldChar w:fldCharType="begin"/>
      </w:r>
      <w:r>
        <w:rPr>
          <w:rStyle w:val="PageNumber"/>
        </w:rPr>
        <w:instrText xml:space="preserve">PAGE  </w:instrText>
      </w:r>
    </w:ins>
    <w:r>
      <w:rPr>
        <w:rStyle w:val="PageNumber"/>
      </w:rPr>
      <w:fldChar w:fldCharType="separate"/>
    </w:r>
    <w:r w:rsidR="00C16FBD">
      <w:rPr>
        <w:rStyle w:val="PageNumber"/>
        <w:noProof/>
      </w:rPr>
      <w:t>6</w:t>
    </w:r>
    <w:ins w:id="104" w:author="Paulo Guimaraes" w:date="2016-09-28T23:10:00Z">
      <w:r>
        <w:rPr>
          <w:rStyle w:val="PageNumber"/>
        </w:rPr>
        <w:fldChar w:fldCharType="end"/>
      </w:r>
    </w:ins>
  </w:p>
  <w:p w14:paraId="445A38B6" w14:textId="77777777" w:rsidR="00423047" w:rsidRDefault="00423047">
    <w:pPr>
      <w:pStyle w:val="Footer"/>
      <w:ind w:right="360"/>
      <w:pPrChange w:id="105" w:author="Paulo Guimaraes" w:date="2016-09-28T23:10: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E69399" w14:textId="77777777" w:rsidR="00423047" w:rsidRDefault="00423047" w:rsidP="005D3081">
      <w:pPr>
        <w:spacing w:before="0" w:after="0"/>
      </w:pPr>
      <w:r>
        <w:separator/>
      </w:r>
    </w:p>
  </w:footnote>
  <w:footnote w:type="continuationSeparator" w:id="0">
    <w:p w14:paraId="50B44723" w14:textId="77777777" w:rsidR="00423047" w:rsidRDefault="00423047" w:rsidP="005D3081">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D10406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4FDA94F"/>
    <w:multiLevelType w:val="multilevel"/>
    <w:tmpl w:val="4D38CB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351D9"/>
    <w:rsid w:val="000965C1"/>
    <w:rsid w:val="000C6864"/>
    <w:rsid w:val="00167B96"/>
    <w:rsid w:val="00203BFF"/>
    <w:rsid w:val="002408D8"/>
    <w:rsid w:val="00264A7D"/>
    <w:rsid w:val="002D2773"/>
    <w:rsid w:val="002E06BF"/>
    <w:rsid w:val="002F4D7B"/>
    <w:rsid w:val="00326C1D"/>
    <w:rsid w:val="00423047"/>
    <w:rsid w:val="00497D35"/>
    <w:rsid w:val="004B3E88"/>
    <w:rsid w:val="004E166D"/>
    <w:rsid w:val="004E29B3"/>
    <w:rsid w:val="00524851"/>
    <w:rsid w:val="00553EFB"/>
    <w:rsid w:val="00590D07"/>
    <w:rsid w:val="005D29E2"/>
    <w:rsid w:val="005D3081"/>
    <w:rsid w:val="00624154"/>
    <w:rsid w:val="0063019C"/>
    <w:rsid w:val="00644DA7"/>
    <w:rsid w:val="00683D48"/>
    <w:rsid w:val="0069316A"/>
    <w:rsid w:val="00732670"/>
    <w:rsid w:val="00751C1B"/>
    <w:rsid w:val="00784D58"/>
    <w:rsid w:val="007F2AC7"/>
    <w:rsid w:val="00842647"/>
    <w:rsid w:val="00890295"/>
    <w:rsid w:val="008D37B9"/>
    <w:rsid w:val="008D5A3E"/>
    <w:rsid w:val="008D6863"/>
    <w:rsid w:val="00B11330"/>
    <w:rsid w:val="00B86B75"/>
    <w:rsid w:val="00BC48D5"/>
    <w:rsid w:val="00C16FBD"/>
    <w:rsid w:val="00C21161"/>
    <w:rsid w:val="00C36279"/>
    <w:rsid w:val="00C44779"/>
    <w:rsid w:val="00CE7179"/>
    <w:rsid w:val="00CF6A30"/>
    <w:rsid w:val="00D50087"/>
    <w:rsid w:val="00DE198D"/>
    <w:rsid w:val="00E168C2"/>
    <w:rsid w:val="00E315A3"/>
    <w:rsid w:val="00E32517"/>
    <w:rsid w:val="00ED72CC"/>
    <w:rsid w:val="00F25655"/>
    <w:rsid w:val="00F37536"/>
    <w:rsid w:val="00F673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8CE7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C44779"/>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C44779"/>
    <w:rPr>
      <w:rFonts w:ascii="Lucida Grande" w:hAnsi="Lucida Grande" w:cs="Lucida Grande"/>
      <w:sz w:val="18"/>
      <w:szCs w:val="18"/>
    </w:rPr>
  </w:style>
  <w:style w:type="character" w:styleId="CommentReference">
    <w:name w:val="annotation reference"/>
    <w:basedOn w:val="DefaultParagraphFont"/>
    <w:rsid w:val="00C44779"/>
    <w:rPr>
      <w:sz w:val="18"/>
      <w:szCs w:val="18"/>
    </w:rPr>
  </w:style>
  <w:style w:type="paragraph" w:styleId="CommentText">
    <w:name w:val="annotation text"/>
    <w:basedOn w:val="Normal"/>
    <w:link w:val="CommentTextChar"/>
    <w:rsid w:val="00C44779"/>
  </w:style>
  <w:style w:type="character" w:customStyle="1" w:styleId="CommentTextChar">
    <w:name w:val="Comment Text Char"/>
    <w:basedOn w:val="DefaultParagraphFont"/>
    <w:link w:val="CommentText"/>
    <w:rsid w:val="00C44779"/>
  </w:style>
  <w:style w:type="paragraph" w:styleId="CommentSubject">
    <w:name w:val="annotation subject"/>
    <w:basedOn w:val="CommentText"/>
    <w:next w:val="CommentText"/>
    <w:link w:val="CommentSubjectChar"/>
    <w:rsid w:val="00C44779"/>
    <w:rPr>
      <w:b/>
      <w:bCs/>
      <w:sz w:val="20"/>
      <w:szCs w:val="20"/>
    </w:rPr>
  </w:style>
  <w:style w:type="character" w:customStyle="1" w:styleId="CommentSubjectChar">
    <w:name w:val="Comment Subject Char"/>
    <w:basedOn w:val="CommentTextChar"/>
    <w:link w:val="CommentSubject"/>
    <w:rsid w:val="00C44779"/>
    <w:rPr>
      <w:b/>
      <w:bCs/>
      <w:sz w:val="20"/>
      <w:szCs w:val="20"/>
    </w:rPr>
  </w:style>
  <w:style w:type="paragraph" w:styleId="Footer">
    <w:name w:val="footer"/>
    <w:basedOn w:val="Normal"/>
    <w:link w:val="FooterChar"/>
    <w:rsid w:val="005D3081"/>
    <w:pPr>
      <w:tabs>
        <w:tab w:val="center" w:pos="4320"/>
        <w:tab w:val="right" w:pos="8640"/>
      </w:tabs>
      <w:spacing w:before="0" w:after="0"/>
    </w:pPr>
  </w:style>
  <w:style w:type="character" w:customStyle="1" w:styleId="FooterChar">
    <w:name w:val="Footer Char"/>
    <w:basedOn w:val="DefaultParagraphFont"/>
    <w:link w:val="Footer"/>
    <w:rsid w:val="005D3081"/>
  </w:style>
  <w:style w:type="character" w:styleId="PageNumber">
    <w:name w:val="page number"/>
    <w:basedOn w:val="DefaultParagraphFont"/>
    <w:rsid w:val="005D308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C44779"/>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C44779"/>
    <w:rPr>
      <w:rFonts w:ascii="Lucida Grande" w:hAnsi="Lucida Grande" w:cs="Lucida Grande"/>
      <w:sz w:val="18"/>
      <w:szCs w:val="18"/>
    </w:rPr>
  </w:style>
  <w:style w:type="character" w:styleId="CommentReference">
    <w:name w:val="annotation reference"/>
    <w:basedOn w:val="DefaultParagraphFont"/>
    <w:rsid w:val="00C44779"/>
    <w:rPr>
      <w:sz w:val="18"/>
      <w:szCs w:val="18"/>
    </w:rPr>
  </w:style>
  <w:style w:type="paragraph" w:styleId="CommentText">
    <w:name w:val="annotation text"/>
    <w:basedOn w:val="Normal"/>
    <w:link w:val="CommentTextChar"/>
    <w:rsid w:val="00C44779"/>
  </w:style>
  <w:style w:type="character" w:customStyle="1" w:styleId="CommentTextChar">
    <w:name w:val="Comment Text Char"/>
    <w:basedOn w:val="DefaultParagraphFont"/>
    <w:link w:val="CommentText"/>
    <w:rsid w:val="00C44779"/>
  </w:style>
  <w:style w:type="paragraph" w:styleId="CommentSubject">
    <w:name w:val="annotation subject"/>
    <w:basedOn w:val="CommentText"/>
    <w:next w:val="CommentText"/>
    <w:link w:val="CommentSubjectChar"/>
    <w:rsid w:val="00C44779"/>
    <w:rPr>
      <w:b/>
      <w:bCs/>
      <w:sz w:val="20"/>
      <w:szCs w:val="20"/>
    </w:rPr>
  </w:style>
  <w:style w:type="character" w:customStyle="1" w:styleId="CommentSubjectChar">
    <w:name w:val="Comment Subject Char"/>
    <w:basedOn w:val="CommentTextChar"/>
    <w:link w:val="CommentSubject"/>
    <w:rsid w:val="00C44779"/>
    <w:rPr>
      <w:b/>
      <w:bCs/>
      <w:sz w:val="20"/>
      <w:szCs w:val="20"/>
    </w:rPr>
  </w:style>
  <w:style w:type="paragraph" w:styleId="Footer">
    <w:name w:val="footer"/>
    <w:basedOn w:val="Normal"/>
    <w:link w:val="FooterChar"/>
    <w:rsid w:val="005D3081"/>
    <w:pPr>
      <w:tabs>
        <w:tab w:val="center" w:pos="4320"/>
        <w:tab w:val="right" w:pos="8640"/>
      </w:tabs>
      <w:spacing w:before="0" w:after="0"/>
    </w:pPr>
  </w:style>
  <w:style w:type="character" w:customStyle="1" w:styleId="FooterChar">
    <w:name w:val="Footer Char"/>
    <w:basedOn w:val="DefaultParagraphFont"/>
    <w:link w:val="Footer"/>
    <w:rsid w:val="005D3081"/>
  </w:style>
  <w:style w:type="character" w:styleId="PageNumber">
    <w:name w:val="page number"/>
    <w:basedOn w:val="DefaultParagraphFont"/>
    <w:rsid w:val="005D3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hyperlink" Target="http://CRAN.R-project.org/package=lme4" TargetMode="External"/><Relationship Id="rId16" Type="http://schemas.openxmlformats.org/officeDocument/2006/relationships/hyperlink" Target="http://igraph.org" TargetMode="External"/><Relationship Id="rId17" Type="http://schemas.openxmlformats.org/officeDocument/2006/relationships/hyperlink" Target="http://CRAN.R-project.org/package=lmerTest" TargetMode="External"/><Relationship Id="rId18" Type="http://schemas.openxmlformats.org/officeDocument/2006/relationships/hyperlink" Target="http://www.R-project.org/"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22</Pages>
  <Words>8711</Words>
  <Characters>49653</Characters>
  <Application>Microsoft Macintosh Word</Application>
  <DocSecurity>0</DocSecurity>
  <Lines>413</Lines>
  <Paragraphs>116</Paragraphs>
  <ScaleCrop>false</ScaleCrop>
  <Company/>
  <LinksUpToDate>false</LinksUpToDate>
  <CharactersWithSpaces>58248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temporal assembly of plant-pollinator networks following restoration</dc:title>
  <dc:creator>Lauren C. Ponisio^{1,2}, Marilia P. Gaiarsa^3, Claire Kremen^1</dc:creator>
  <cp:lastModifiedBy>Lauren Ponisio</cp:lastModifiedBy>
  <cp:revision>10</cp:revision>
  <dcterms:created xsi:type="dcterms:W3CDTF">2016-09-29T03:44:00Z</dcterms:created>
  <dcterms:modified xsi:type="dcterms:W3CDTF">2016-10-04T20:30:00Z</dcterms:modified>
</cp:coreProperties>
</file>