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260" w:after="220" w:line="264" w:lineRule="auto"/>
        <w:ind w:left="0"/>
      </w:pPr>
      <w:r>
        <w:rPr>
          <w:rFonts w:eastAsia="等线" w:ascii="Arial" w:cs="Arial" w:hAnsi="Arial"/>
          <w:b w:val="true"/>
          <w:sz w:val="40"/>
          <w:lang w:val="es-ES" w:eastAsia="es-ES" w:bidi="es-ES"/>
          <w:szCs w:val="40"/>
        </w:rPr>
        <w:t>Cruzr S2 - Procedimiento de traslado de cajas</w:t>
      </w:r>
    </w:p>
    <w:p>
      <w:pPr>
        <w:pStyle w:val="1"/>
        <w:spacing w:before="190" w:after="80" w:line="264" w:lineRule="auto"/>
        <w:ind w:left="0"/>
        <w:jc w:val="left"/>
        <w:outlineLvl w:val="0"/>
        <w:keepNext/>
      </w:pPr>
      <w:bookmarkStart w:name="heading_0" w:id="0"/>
      <w:r>
        <w:rPr>
          <w:rFonts w:eastAsia="等线" w:ascii="Arial" w:cs="Arial" w:hAnsi="Arial"/>
          <w:b w:val="true"/>
          <w:sz w:val="32"/>
          <w:lang w:val="es-ES" w:eastAsia="es-ES" w:bidi="es-ES"/>
          <w:szCs w:val="32"/>
        </w:rPr>
        <w:t>1. Creación del mapa y definición de puntos</w:t>
      </w:r>
      <w:bookmarkEnd w:id="0"/>
    </w:p>
    <w:p>
      <w:pPr>
        <w:spacing w:before="45" w:after="45" w:line="264" w:lineRule="auto"/>
        <w:ind w:left="0"/>
        <w:jc w:val="left"/>
      </w:pPr>
      <w:r>
        <w:rPr>
          <w:rFonts w:eastAsia="等线" w:ascii="Arial" w:cs="Arial" w:hAnsi="Arial"/>
          <w:sz w:val="20"/>
          <w:lang w:val="es-ES" w:eastAsia="es-ES" w:bidi="es-ES"/>
          <w:szCs w:val="20"/>
        </w:rPr>
        <w:t xml:space="preserve">    La creación del mapa y la definición de puntos se realizan desde la interfaz web.</w:t>
      </w:r>
    </w:p>
    <w:p>
      <w:pPr>
        <w:numPr>
          <w:numId w:val="1"/>
        </w:numPr>
        <w:spacing w:before="45" w:after="45" w:line="264" w:lineRule="auto"/>
        <w:ind w:left="0"/>
        <w:jc w:val="left"/>
      </w:pPr>
      <w:r>
        <w:rPr>
          <w:rFonts w:eastAsia="等线" w:ascii="Arial" w:cs="Arial" w:hAnsi="Arial"/>
          <w:sz w:val="20"/>
          <w:lang w:val="es-ES" w:eastAsia="es-ES" w:bidi="es-ES"/>
          <w:szCs w:val="20"/>
        </w:rPr>
        <w:t>[Credenciales omitidas / Access credentials redacted]</w:t>
      </w:r>
    </w:p>
    <w:p>
      <w:pPr>
        <w:numPr>
          <w:numId w:val="2"/>
        </w:numPr>
        <w:spacing w:before="45" w:after="45" w:line="264" w:lineRule="auto"/>
        <w:ind w:left="0"/>
        <w:jc w:val="left"/>
      </w:pPr>
      <w:r>
        <w:rPr>
          <w:rFonts w:eastAsia="等线" w:ascii="Arial" w:cs="Arial" w:hAnsi="Arial"/>
          <w:sz w:val="20"/>
          <w:lang w:val="es-ES" w:eastAsia="es-ES" w:bidi="es-ES"/>
          <w:szCs w:val="20"/>
        </w:rPr>
        <w:t>Entre en la pantalla de creación del mapa.</w:t>
      </w:r>
    </w:p>
    <w:p>
      <w:pPr>
        <w:spacing w:before="120" w:after="120" w:line="288" w:lineRule="auto"/>
        <w:ind w:left="0"/>
        <w:jc w:val="center"/>
      </w:pPr>
      <w:r>
        <w:rPr>
          <w:lang w:val="es-ES" w:eastAsia="es-ES" w:bidi="es-ES"/>
        </w:rPr>
        <w:drawing>
          <wp:inline distT="0" distR="0" distB="0" distL="0">
            <wp:extent cx="5257800" cy="2838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38450"/>
                    </a:xfrm>
                    <a:prstGeom prst="rect">
                      <a:avLst/>
                    </a:prstGeom>
                  </pic:spPr>
                </pic:pic>
              </a:graphicData>
            </a:graphic>
          </wp:inline>
        </w:drawing>
      </w:r>
    </w:p>
    <w:p>
      <w:pPr>
        <w:numPr>
          <w:numId w:val="3"/>
        </w:numPr>
        <w:spacing w:before="45" w:after="45" w:line="264" w:lineRule="auto"/>
        <w:ind w:left="0"/>
        <w:jc w:val="left"/>
      </w:pPr>
      <w:r>
        <w:rPr>
          <w:rFonts w:eastAsia="等线" w:ascii="Arial" w:cs="Arial" w:hAnsi="Arial"/>
          <w:sz w:val="20"/>
          <w:lang w:val="es-ES" w:eastAsia="es-ES" w:bidi="es-ES"/>
          <w:szCs w:val="20"/>
        </w:rPr>
        <w:t>Recorra una vuelta completa por la zona mientras observa la pantalla de visualización. Mantenga el robot lo más bajo posible, sin que toque el suelo, y empújelo para realizar el escaneado.</w:t>
      </w:r>
    </w:p>
    <w:p>
      <w:pPr>
        <w:numPr>
          <w:numId w:val="4"/>
        </w:numPr>
        <w:spacing w:before="45" w:after="45" w:line="264" w:lineRule="auto"/>
        <w:ind w:left="0"/>
        <w:jc w:val="left"/>
      </w:pPr>
      <w:r>
        <w:rPr>
          <w:rFonts w:eastAsia="等线" w:ascii="Arial" w:cs="Arial" w:hAnsi="Arial"/>
          <w:sz w:val="20"/>
          <w:lang w:val="es-ES" w:eastAsia="es-ES" w:bidi="es-ES"/>
          <w:szCs w:val="20"/>
        </w:rPr>
        <w:t>Pulse «Guardar mapa».</w:t>
      </w:r>
    </w:p>
    <w:p>
      <w:pPr>
        <w:numPr>
          <w:numId w:val="5"/>
        </w:numPr>
        <w:spacing w:before="45" w:after="45" w:line="264" w:lineRule="auto"/>
        <w:ind w:left="0"/>
        <w:jc w:val="left"/>
      </w:pPr>
      <w:r>
        <w:rPr>
          <w:rFonts w:eastAsia="等线" w:ascii="Arial" w:cs="Arial" w:hAnsi="Arial"/>
          <w:sz w:val="20"/>
          <w:lang w:val="es-ES" w:eastAsia="es-ES" w:bidi="es-ES"/>
          <w:szCs w:val="20"/>
        </w:rPr>
        <w:t>Pulse «Gestión de mapas».</w:t>
      </w:r>
    </w:p>
    <w:p>
      <w:pPr>
        <w:spacing w:before="120" w:after="120" w:line="288" w:lineRule="auto"/>
        <w:ind w:left="0"/>
        <w:jc w:val="center"/>
      </w:pPr>
      <w:r>
        <w:rPr>
          <w:lang w:val="es-ES" w:eastAsia="es-ES" w:bidi="es-ES"/>
        </w:rPr>
        <w:drawing>
          <wp:inline distT="0" distR="0" distB="0" distL="0">
            <wp:extent cx="5257800" cy="2247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247900"/>
                    </a:xfrm>
                    <a:prstGeom prst="rect">
                      <a:avLst/>
                    </a:prstGeom>
                  </pic:spPr>
                </pic:pic>
              </a:graphicData>
            </a:graphic>
          </wp:inline>
        </w:drawing>
      </w:r>
    </w:p>
    <w:p>
      <w:pPr>
        <w:numPr>
          <w:numId w:val="6"/>
        </w:numPr>
        <w:spacing w:before="45" w:after="45" w:line="264" w:lineRule="auto"/>
        <w:ind w:left="0"/>
        <w:jc w:val="left"/>
      </w:pPr>
      <w:r>
        <w:rPr>
          <w:rFonts w:eastAsia="等线" w:ascii="Arial" w:cs="Arial" w:hAnsi="Arial"/>
          <w:sz w:val="20"/>
          <w:lang w:val="es-ES" w:eastAsia="es-ES" w:bidi="es-ES"/>
          <w:szCs w:val="20"/>
        </w:rPr>
        <w:t>Defina un punto, registre la posición actual, introduzca su nombre y guárdelo. Repita la operación.</w:t>
      </w:r>
    </w:p>
    <w:p>
      <w:pPr>
        <w:spacing w:before="120" w:after="120" w:line="288" w:lineRule="auto"/>
        <w:ind w:left="0"/>
        <w:jc w:val="center"/>
      </w:pPr>
      <w:r>
        <w:rPr>
          <w:lang w:val="es-ES" w:eastAsia="es-ES" w:bidi="es-ES"/>
        </w:rPr>
        <w:drawing>
          <wp:inline distT="0" distR="0" distB="0" distL="0">
            <wp:extent cx="5257800" cy="29337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33700"/>
                    </a:xfrm>
                    <a:prstGeom prst="rect">
                      <a:avLst/>
                    </a:prstGeom>
                  </pic:spPr>
                </pic:pic>
              </a:graphicData>
            </a:graphic>
          </wp:inline>
        </w:drawing>
      </w:r>
    </w:p>
    <w:p>
      <w:pPr>
        <w:spacing w:before="45" w:after="45" w:line="264" w:lineRule="auto"/>
        <w:ind w:left="0"/>
        <w:jc w:val="left"/>
      </w:pPr>
      <w:r>
        <w:rPr>
          <w:rFonts w:eastAsia="等线" w:ascii="Arial" w:cs="Arial" w:hAnsi="Arial"/>
          <w:b w:val="true"/>
          <w:color w:val="d83931"/>
          <w:sz w:val="20"/>
          <w:lang w:val="es-ES" w:eastAsia="es-ES" w:bidi="es-ES"/>
          <w:szCs w:val="20"/>
        </w:rPr>
        <w:t>Para los nombres concretos de los puntos, consulte los siguientes escenarios de traslado de cajas.</w:t>
      </w:r>
    </w:p>
    <w:p>
      <w:pPr>
        <w:pStyle w:val="1"/>
        <w:spacing w:before="190" w:after="80" w:line="264" w:lineRule="auto"/>
        <w:ind w:left="0"/>
        <w:jc w:val="left"/>
        <w:outlineLvl w:val="0"/>
        <w:keepNext/>
      </w:pPr>
      <w:bookmarkStart w:name="heading_1" w:id="1"/>
      <w:r>
        <w:rPr>
          <w:rFonts w:eastAsia="等线" w:ascii="Arial" w:cs="Arial" w:hAnsi="Arial"/>
          <w:b w:val="true"/>
          <w:sz w:val="32"/>
          <w:lang w:val="es-ES" w:eastAsia="es-ES" w:bidi="es-ES"/>
          <w:szCs w:val="32"/>
        </w:rPr>
        <w:t>2. Proceso de traslado de cajas con estantería dinámica</w:t>
      </w:r>
      <w:bookmarkEnd w:id="1"/>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lang w:val="es-ES" w:eastAsia="es-ES" w:bidi="es-ES"/>
              </w:rPr>
              <w:drawing>
                <wp:inline distT="0" distR="0" distB="0" distL="0">
                  <wp:extent cx="2476500" cy="32956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2476500" cy="32956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rPr>
                <w:lang w:val="es-ES" w:eastAsia="es-ES" w:bidi="es-ES"/>
              </w:rPr>
              <w:drawing>
                <wp:inline distT="0" distR="0" distB="0" distL="0">
                  <wp:extent cx="2476500" cy="32956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476500" cy="3295650"/>
                          </a:xfrm>
                          <a:prstGeom prst="rect">
                            <a:avLst/>
                          </a:prstGeom>
                        </pic:spPr>
                      </pic:pic>
                    </a:graphicData>
                  </a:graphic>
                </wp:inline>
              </w:drawing>
            </w:r>
          </w:p>
        </w:tc>
      </w:tr>
    </w:tbl>
    <w:p>
      <w:pPr>
        <w:pStyle w:val="2"/>
        <w:spacing w:before="130" w:after="55" w:line="264" w:lineRule="auto"/>
        <w:ind w:left="0"/>
        <w:jc w:val="left"/>
        <w:outlineLvl w:val="1"/>
        <w:keepNext/>
      </w:pPr>
      <w:bookmarkStart w:name="heading_2" w:id="2"/>
      <w:r>
        <w:rPr>
          <w:rFonts w:eastAsia="等线" w:ascii="Arial" w:cs="Arial" w:hAnsi="Arial"/>
          <w:b w:val="true"/>
          <w:sz w:val="28"/>
          <w:lang w:val="es-ES" w:eastAsia="es-ES" w:bidi="es-ES"/>
          <w:szCs w:val="28"/>
        </w:rPr>
        <w:t>2.1 Preparación de los elementos:</w:t>
      </w:r>
      <w:r>
        <w:rPr>
          <w:rFonts w:eastAsia="等线" w:ascii="Arial" w:cs="Arial" w:hAnsi="Arial"/>
          <w:b w:val="true"/>
          <w:sz w:val="28"/>
          <w:lang w:val="es-ES" w:eastAsia="es-ES" w:bidi="es-ES"/>
          <w:szCs w:val="28"/>
        </w:rPr>
        <w:t/>
      </w:r>
      <w:bookmarkEnd w:id="2"/>
    </w:p>
    <w:p>
      <w:pPr>
        <w:spacing w:before="45" w:after="45" w:line="264" w:lineRule="auto"/>
        <w:ind w:left="0"/>
        <w:jc w:val="left"/>
      </w:pPr>
      <w:r>
        <w:rPr>
          <w:rFonts w:eastAsia="等线" w:ascii="Arial" w:cs="Arial" w:hAnsi="Arial"/>
          <w:sz w:val="20"/>
          <w:lang w:val="es-ES" w:eastAsia="es-ES" w:bidi="es-ES"/>
          <w:szCs w:val="20"/>
        </w:rPr>
        <w:t>Estantería dinámica ×1. Especificaciones: estantería de dos niveles. Nivel inferior: altura de 85 cm en un extremo, inclinación de 10° y regulación vertical de ±10 cm; el otro extremo tiene 99 cm de altura y puede desplazarse verticalmente y fijarse. Nivel superior: altura de 129 cm en un extremo (85 + 14 + 30), con una inclinación de 10°.</w:t>
      </w:r>
    </w:p>
    <w:p>
      <w:pPr>
        <w:spacing w:before="45" w:after="45" w:line="264" w:lineRule="auto"/>
        <w:ind w:left="0"/>
        <w:jc w:val="left"/>
      </w:pPr>
      <w:r>
        <w:rPr>
          <w:rFonts w:eastAsia="等线" w:ascii="Arial" w:cs="Arial" w:hAnsi="Arial"/>
          <w:sz w:val="20"/>
          <w:lang w:val="es-ES" w:eastAsia="es-ES" w:bidi="es-ES"/>
          <w:szCs w:val="20"/>
        </w:rPr>
        <w:t>Cajas retornables ×9. Dimensiones: 60 × 40 × 23 cm.</w:t>
      </w:r>
    </w:p>
    <w:p>
      <w:pPr>
        <w:spacing w:before="45" w:after="45" w:line="264" w:lineRule="auto"/>
        <w:ind w:left="0"/>
        <w:jc w:val="left"/>
      </w:pPr>
      <w:r>
        <w:rPr>
          <w:rFonts w:eastAsia="等线" w:ascii="Arial" w:cs="Arial" w:hAnsi="Arial"/>
          <w:sz w:val="20"/>
          <w:lang w:val="es-ES" w:eastAsia="es-ES" w:bidi="es-ES"/>
          <w:szCs w:val="20"/>
        </w:rPr>
        <w:t>Palés ×2. Dimensiones: 80 × 60 × 26 cm.</w:t>
      </w:r>
    </w:p>
    <w:p>
      <w:pPr>
        <w:spacing w:before="45" w:after="45" w:line="264" w:lineRule="auto"/>
        <w:ind w:left="0"/>
        <w:jc w:val="left"/>
      </w:pPr>
      <w:r>
        <w:rPr>
          <w:rFonts w:eastAsia="等线" w:ascii="Arial" w:cs="Arial" w:hAnsi="Arial"/>
          <w:sz w:val="20"/>
          <w:lang w:val="es-ES" w:eastAsia="es-ES" w:bidi="es-ES"/>
          <w:szCs w:val="20"/>
        </w:rPr>
        <w:t>Mesa ×1. Altura: 91,5 cm.</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266"/>
        <w:gridCol w:w="3017"/>
        <w:gridCol w:w="2996"/>
      </w:tblGrid>
      <w:tr>
        <w:tc>
          <w:tcPr>
            <w:tcW w:w="2266" w:type="dxa"/>
            <w:tcMar>
              <w:top w:type="dxa" w:w="60"/>
              <w:left w:type="dxa" w:w="120"/>
              <w:bottom w:type="dxa" w:w="30"/>
              <w:right w:type="dxa" w:w="120"/>
            </w:tcMar>
          </w:tcPr>
          <w:p>
            <w:pPr>
              <w:spacing w:before="120" w:after="120" w:line="288" w:lineRule="auto"/>
              <w:ind w:left="0"/>
              <w:jc w:val="center"/>
            </w:pPr>
            <w:r>
              <w:rPr>
                <w:lang w:val="es-ES" w:eastAsia="es-ES" w:bidi="es-ES"/>
              </w:rPr>
              <w:drawing>
                <wp:inline distT="0" distR="0" distB="0" distL="0">
                  <wp:extent cx="1285875" cy="9715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1285875" cy="971550"/>
                          </a:xfrm>
                          <a:prstGeom prst="rect">
                            <a:avLst/>
                          </a:prstGeom>
                        </pic:spPr>
                      </pic:pic>
                    </a:graphicData>
                  </a:graphic>
                </wp:inline>
              </w:drawing>
            </w:r>
          </w:p>
          <w:p>
            <w:pPr>
              <w:spacing w:before="120" w:after="120" w:line="288" w:lineRule="auto"/>
              <w:ind w:left="0"/>
              <w:jc w:val="left"/>
            </w:pPr>
          </w:p>
        </w:tc>
        <w:tc>
          <w:tcPr>
            <w:tcW w:w="3017" w:type="dxa"/>
            <w:tcMar>
              <w:top w:type="dxa" w:w="60"/>
              <w:left w:type="dxa" w:w="120"/>
              <w:bottom w:type="dxa" w:w="30"/>
              <w:right w:type="dxa" w:w="120"/>
            </w:tcMar>
          </w:tcPr>
          <w:p>
            <w:pPr>
              <w:spacing w:before="120" w:after="120" w:line="288" w:lineRule="auto"/>
              <w:ind w:left="0"/>
              <w:jc w:val="center"/>
            </w:pPr>
            <w:r>
              <w:rPr>
                <w:lang w:val="es-ES" w:eastAsia="es-ES" w:bidi="es-ES"/>
              </w:rPr>
              <w:drawing>
                <wp:inline distT="0" distR="0" distB="0" distL="0">
                  <wp:extent cx="1762125" cy="10001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1762125" cy="1000125"/>
                          </a:xfrm>
                          <a:prstGeom prst="rect">
                            <a:avLst/>
                          </a:prstGeom>
                        </pic:spPr>
                      </pic:pic>
                    </a:graphicData>
                  </a:graphic>
                </wp:inline>
              </w:drawing>
            </w:r>
          </w:p>
        </w:tc>
        <w:tc>
          <w:tcPr>
            <w:tcW w:w="2996" w:type="dxa"/>
            <w:tcMar>
              <w:top w:type="dxa" w:w="60"/>
              <w:left w:type="dxa" w:w="120"/>
              <w:bottom w:type="dxa" w:w="30"/>
              <w:right w:type="dxa" w:w="120"/>
            </w:tcMar>
          </w:tcPr>
          <w:p>
            <w:pPr>
              <w:spacing w:before="120" w:after="120" w:line="288" w:lineRule="auto"/>
              <w:ind w:left="0"/>
              <w:jc w:val="center"/>
            </w:pPr>
            <w:r>
              <w:rPr>
                <w:lang w:val="es-ES" w:eastAsia="es-ES" w:bidi="es-ES"/>
              </w:rPr>
              <w:drawing>
                <wp:inline distT="0" distR="0" distB="0" distL="0">
                  <wp:extent cx="1743075" cy="10001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1743075" cy="1000125"/>
                          </a:xfrm>
                          <a:prstGeom prst="rect">
                            <a:avLst/>
                          </a:prstGeom>
                        </pic:spPr>
                      </pic:pic>
                    </a:graphicData>
                  </a:graphic>
                </wp:inline>
              </w:drawing>
            </w:r>
          </w:p>
          <w:p>
            <w:pPr>
              <w:spacing w:before="120" w:after="120" w:line="288" w:lineRule="auto"/>
              <w:ind w:left="0"/>
              <w:jc w:val="left"/>
            </w:pPr>
          </w:p>
        </w:tc>
      </w:tr>
    </w:tbl>
    <w:p>
      <w:pPr>
        <w:pStyle w:val="2"/>
        <w:spacing w:before="130" w:after="55" w:line="264" w:lineRule="auto"/>
        <w:ind w:left="0"/>
        <w:jc w:val="left"/>
        <w:outlineLvl w:val="1"/>
        <w:keepNext/>
      </w:pPr>
      <w:bookmarkStart w:name="heading_3" w:id="3"/>
      <w:r>
        <w:rPr>
          <w:rFonts w:eastAsia="等线" w:ascii="Arial" w:cs="Arial" w:hAnsi="Arial"/>
          <w:b w:val="true"/>
          <w:sz w:val="28"/>
          <w:lang w:val="es-ES" w:eastAsia="es-ES" w:bidi="es-ES"/>
          <w:szCs w:val="28"/>
        </w:rPr>
        <w:t>2.2 Requisitos de los puntos</w:t>
      </w:r>
      <w:bookmarkEnd w:id="3"/>
    </w:p>
    <w:p>
      <w:pPr>
        <w:spacing w:before="45" w:after="45" w:line="264" w:lineRule="auto"/>
        <w:ind w:left="0"/>
        <w:jc w:val="left"/>
      </w:pPr>
      <w:r>
        <w:rPr>
          <w:rFonts w:eastAsia="等线" w:ascii="Arial" w:cs="Arial" w:hAnsi="Arial"/>
          <w:sz w:val="20"/>
          <w:lang w:val="es-ES" w:eastAsia="es-ES" w:bidi="es-ES"/>
          <w:szCs w:val="20"/>
        </w:rPr>
        <w:t>Como se muestra en la imagen, en get1 el centro de la rueda derecha queda a 59 cm del frente de la caja, y el lado derecho de la caja queda a 16 cm del lado derecho de la rueda.</w:t>
      </w:r>
    </w:p>
    <w:p>
      <w:pPr>
        <w:spacing w:before="45" w:after="45" w:line="264" w:lineRule="auto"/>
        <w:ind w:left="0"/>
        <w:jc w:val="left"/>
      </w:pPr>
      <w:r>
        <w:rPr>
          <w:rFonts w:eastAsia="等线" w:ascii="Arial" w:cs="Arial" w:hAnsi="Arial"/>
          <w:sz w:val="20"/>
          <w:lang w:val="es-ES" w:eastAsia="es-ES" w:bidi="es-ES"/>
          <w:szCs w:val="20"/>
        </w:rPr>
        <w:t>put1: el centro de la rueda derecha queda a 90 cm de la parte inferior de la estantería y a 20 cm del centro de la pata niveladora derecha.</w:t>
      </w:r>
    </w:p>
    <w:p>
      <w:pPr>
        <w:spacing w:before="45" w:after="45" w:line="264" w:lineRule="auto"/>
        <w:ind w:left="0"/>
        <w:jc w:val="left"/>
      </w:pPr>
      <w:r>
        <w:rPr>
          <w:rFonts w:eastAsia="等线" w:ascii="Arial" w:cs="Arial" w:hAnsi="Arial"/>
          <w:sz w:val="20"/>
          <w:lang w:val="es-ES" w:eastAsia="es-ES" w:bidi="es-ES"/>
          <w:szCs w:val="20"/>
        </w:rPr>
        <w:t>get2: el centro de la rueda derecha debe quedar alineado con el lado derecho de la caja situada a la izquierda de la pila, a una distancia de 51,5 respecto al frente de la caja.</w:t>
      </w:r>
    </w:p>
    <w:p>
      <w:pPr>
        <w:spacing w:before="45" w:after="45" w:line="264" w:lineRule="auto"/>
        <w:ind w:left="0"/>
        <w:jc w:val="left"/>
      </w:pPr>
      <w:r>
        <w:rPr>
          <w:rFonts w:eastAsia="等线" w:ascii="Arial" w:cs="Arial" w:hAnsi="Arial"/>
          <w:sz w:val="20"/>
          <w:lang w:val="es-ES" w:eastAsia="es-ES" w:bidi="es-ES"/>
          <w:szCs w:val="20"/>
        </w:rPr>
        <w:t>put2: el centro de la rueda derecha queda a 87 cm de la parte inferior de la estantería y a 90 cm del centro de la pata niveladora derecha.</w:t>
      </w:r>
    </w:p>
    <w:p>
      <w:pPr>
        <w:spacing w:before="45" w:after="45" w:line="264" w:lineRule="auto"/>
        <w:ind w:left="0"/>
        <w:jc w:val="left"/>
      </w:pPr>
      <w:r>
        <w:rPr>
          <w:rFonts w:eastAsia="等线" w:ascii="Arial" w:cs="Arial" w:hAnsi="Arial"/>
          <w:sz w:val="20"/>
          <w:lang w:val="es-ES" w:eastAsia="es-ES" w:bidi="es-ES"/>
          <w:szCs w:val="20"/>
        </w:rPr>
        <w:t>get3: el centro de la rueda derecha queda a 74 cm de la parte inferior de la estantería y a 57 cm del centro de la pata niveladora derecha.</w:t>
      </w:r>
    </w:p>
    <w:p>
      <w:pPr>
        <w:spacing w:before="45" w:after="45" w:line="264" w:lineRule="auto"/>
        <w:ind w:left="0"/>
        <w:jc w:val="left"/>
      </w:pPr>
      <w:r>
        <w:rPr>
          <w:rFonts w:eastAsia="等线" w:ascii="Arial" w:cs="Arial" w:hAnsi="Arial"/>
          <w:sz w:val="20"/>
          <w:lang w:val="es-ES" w:eastAsia="es-ES" w:bidi="es-ES"/>
          <w:szCs w:val="20"/>
        </w:rPr>
        <w:t>put3: a 56 cm del frente de la mesa, alineado con el centro de la mesa.</w:t>
      </w:r>
    </w:p>
    <w:p>
      <w:pPr>
        <w:spacing w:before="45" w:after="45" w:line="264" w:lineRule="auto"/>
        <w:ind w:left="0"/>
        <w:jc w:val="left"/>
      </w:pPr>
      <w:r>
        <w:rPr>
          <w:rFonts w:eastAsia="等线" w:ascii="Arial" w:cs="Arial" w:hAnsi="Arial"/>
          <w:sz w:val="20"/>
          <w:lang w:val="es-ES" w:eastAsia="es-ES" w:bidi="es-ES"/>
          <w:szCs w:val="20"/>
        </w:rPr>
        <w:t>El lado izquierdo de la caja debe quedar, como mínimo, a 164 cm de la estantería.</w:t>
      </w:r>
    </w:p>
    <w:p>
      <w:pPr>
        <w:spacing w:before="45" w:after="45" w:line="264" w:lineRule="auto"/>
        <w:ind w:left="0"/>
        <w:jc w:val="left"/>
      </w:pPr>
      <w:r>
        <w:rPr>
          <w:rFonts w:eastAsia="等线" w:ascii="Arial" w:cs="Arial" w:hAnsi="Arial"/>
          <w:sz w:val="20"/>
          <w:lang w:val="es-ES" w:eastAsia="es-ES" w:bidi="es-ES"/>
          <w:szCs w:val="20"/>
        </w:rPr>
        <w:t>La mesa debe quedar, como mínimo, a 45 cm de la estantería.</w:t>
      </w:r>
    </w:p>
    <w:p>
      <w:pPr>
        <w:spacing w:before="45" w:after="45" w:line="264" w:lineRule="auto"/>
        <w:ind w:left="0"/>
        <w:jc w:val="left"/>
      </w:pPr>
      <w:r>
        <w:rPr>
          <w:rFonts w:eastAsia="等线" w:ascii="Arial" w:cs="Arial" w:hAnsi="Arial"/>
          <w:sz w:val="20"/>
          <w:lang w:val="es-ES" w:eastAsia="es-ES" w:bidi="es-ES"/>
          <w:szCs w:val="20"/>
        </w:rPr>
        <w:t>La caja de get3 debe colocarse en el centro exacto del nivel superior de la estantería.</w:t>
      </w:r>
    </w:p>
    <w:p>
      <w:pPr>
        <w:pStyle w:val="2"/>
        <w:spacing w:before="130" w:after="55" w:line="264" w:lineRule="auto"/>
        <w:ind w:left="0"/>
        <w:jc w:val="left"/>
        <w:outlineLvl w:val="1"/>
        <w:keepNext/>
      </w:pPr>
      <w:bookmarkStart w:name="heading_4" w:id="4"/>
      <w:r>
        <w:rPr>
          <w:rFonts w:eastAsia="等线" w:ascii="Arial" w:cs="Arial" w:hAnsi="Arial"/>
          <w:b w:val="true"/>
          <w:sz w:val="28"/>
          <w:lang w:val="es-ES" w:eastAsia="es-ES" w:bidi="es-ES"/>
          <w:szCs w:val="28"/>
        </w:rPr>
        <w:t>2.3 Descripción del proceso</w:t>
      </w:r>
      <w:bookmarkEnd w:id="4"/>
    </w:p>
    <w:p>
      <w:pPr>
        <w:numPr>
          <w:numId w:val="7"/>
        </w:numPr>
        <w:spacing w:before="45" w:after="45" w:line="264" w:lineRule="auto"/>
        <w:ind w:left="0"/>
        <w:jc w:val="left"/>
      </w:pPr>
      <w:r>
        <w:rPr>
          <w:rFonts w:eastAsia="等线" w:ascii="Arial" w:cs="Arial" w:hAnsi="Arial"/>
          <w:sz w:val="20"/>
          <w:lang w:val="es-ES" w:eastAsia="es-ES" w:bidi="es-ES"/>
          <w:szCs w:val="20"/>
        </w:rPr>
        <w:t>La primera vez que se ejecute el proceso completo después de encender el robot, desplace el interruptor G del mando hacia la derecha y devuélvalo a su posición. Cuando el robot solicite configurar el mapa y anuncie que la localización de navegación se ha realizado correctamente, comenzará a ejecutar las siguientes tareas.</w:t>
      </w:r>
    </w:p>
    <w:p>
      <w:pPr>
        <w:numPr>
          <w:numId w:val="8"/>
        </w:numPr>
        <w:spacing w:before="45" w:after="45" w:line="264" w:lineRule="auto"/>
        <w:ind w:left="0"/>
        <w:jc w:val="left"/>
      </w:pPr>
      <w:r>
        <w:rPr>
          <w:rFonts w:eastAsia="等线" w:ascii="Arial" w:cs="Arial" w:hAnsi="Arial"/>
          <w:sz w:val="20"/>
          <w:lang w:val="es-ES" w:eastAsia="es-ES" w:bidi="es-ES"/>
          <w:szCs w:val="20"/>
        </w:rPr>
        <w:t>El robot navegará primero hasta el punto get1 para desapilar. Extraerá hacia la derecha la caja retornable situada arriba a la derecha hasta sujetarla de forma estable; después navegará hasta put1 y colocará la caja en la parte inferior derecha de la estantería dinámica.</w:t>
      </w:r>
    </w:p>
    <w:p>
      <w:pPr>
        <w:numPr>
          <w:numId w:val="9"/>
        </w:numPr>
        <w:spacing w:before="45" w:after="45" w:line="264" w:lineRule="auto"/>
        <w:ind w:left="0"/>
        <w:jc w:val="left"/>
      </w:pPr>
      <w:r>
        <w:rPr>
          <w:rFonts w:eastAsia="等线" w:ascii="Arial" w:cs="Arial" w:hAnsi="Arial"/>
          <w:sz w:val="20"/>
          <w:lang w:val="es-ES" w:eastAsia="es-ES" w:bidi="es-ES"/>
          <w:szCs w:val="20"/>
        </w:rPr>
        <w:t>A continuación, navegará hasta get2, sujetará directamente y levantará la caja retornable superior del lado izquierdo; después navegará hasta put2 y colocará la caja en la parte inferior derecha de la estantería dinámica.</w:t>
      </w:r>
    </w:p>
    <w:p>
      <w:pPr>
        <w:numPr>
          <w:numId w:val="10"/>
        </w:numPr>
        <w:spacing w:before="45" w:after="45" w:line="264" w:lineRule="auto"/>
        <w:ind w:left="0"/>
        <w:jc w:val="left"/>
      </w:pPr>
      <w:r>
        <w:rPr>
          <w:rFonts w:eastAsia="等线" w:ascii="Arial" w:cs="Arial" w:hAnsi="Arial"/>
          <w:sz w:val="20"/>
          <w:lang w:val="es-ES" w:eastAsia="es-ES" w:bidi="es-ES"/>
          <w:szCs w:val="20"/>
        </w:rPr>
        <w:t>Después navegará hasta get3, levantará la caja retornable situada en la parte superior de la estantería dinámica, navegará hasta put3 y colocará la caja sobre la mesa.</w:t>
      </w:r>
    </w:p>
    <w:p>
      <w:pPr>
        <w:spacing w:before="120" w:after="120" w:line="288" w:lineRule="auto"/>
        <w:ind w:left="0" w:firstLine="0"/>
        <w:jc w:val="left"/>
      </w:pPr>
    </w:p>
    <w:p>
      <w:pPr>
        <w:pStyle w:val="1"/>
        <w:spacing w:before="190" w:after="80" w:line="264" w:lineRule="auto"/>
        <w:ind w:left="0"/>
        <w:jc w:val="left"/>
        <w:outlineLvl w:val="0"/>
        <w:keepNext/>
      </w:pPr>
      <w:bookmarkStart w:name="heading_5" w:id="5"/>
      <w:r>
        <w:rPr>
          <w:rFonts w:eastAsia="等线" w:ascii="Arial" w:cs="Arial" w:hAnsi="Arial"/>
          <w:b w:val="true"/>
          <w:sz w:val="32"/>
          <w:lang w:val="es-ES" w:eastAsia="es-ES" w:bidi="es-ES"/>
          <w:szCs w:val="32"/>
        </w:rPr>
        <w:t>3. Proceso de traslado de cajas entre estanterías de dos niveles</w:t>
      </w:r>
      <w:bookmarkEnd w:id="5"/>
    </w:p>
    <w:p>
      <w:pPr>
        <w:pStyle w:val="2"/>
        <w:spacing w:before="130" w:after="55" w:line="264" w:lineRule="auto"/>
        <w:ind w:left="0"/>
        <w:jc w:val="left"/>
        <w:outlineLvl w:val="1"/>
        <w:keepNext/>
      </w:pPr>
      <w:bookmarkStart w:name="heading_6" w:id="6"/>
      <w:r>
        <w:rPr>
          <w:rFonts w:eastAsia="等线" w:ascii="Arial" w:cs="Arial" w:hAnsi="Arial"/>
          <w:b w:val="true"/>
          <w:sz w:val="28"/>
          <w:lang w:val="es-ES" w:eastAsia="es-ES" w:bidi="es-ES"/>
          <w:szCs w:val="28"/>
        </w:rPr>
        <w:t>3.1 Preparación de los elementos:</w:t>
      </w:r>
      <w:r>
        <w:rPr>
          <w:rFonts w:eastAsia="等线" w:ascii="Arial" w:cs="Arial" w:hAnsi="Arial"/>
          <w:b w:val="true"/>
          <w:sz w:val="28"/>
          <w:lang w:val="es-ES" w:eastAsia="es-ES" w:bidi="es-ES"/>
          <w:szCs w:val="28"/>
        </w:rPr>
        <w:t/>
      </w:r>
      <w:bookmarkEnd w:id="6"/>
    </w:p>
    <w:p>
      <w:pPr>
        <w:spacing w:before="45" w:after="45" w:line="264" w:lineRule="auto"/>
        <w:ind w:left="0"/>
        <w:jc w:val="left"/>
      </w:pPr>
      <w:r>
        <w:rPr>
          <w:rFonts w:eastAsia="等线" w:ascii="Arial" w:cs="Arial" w:hAnsi="Arial"/>
          <w:sz w:val="20"/>
          <w:lang w:val="es-ES" w:eastAsia="es-ES" w:bidi="es-ES"/>
          <w:szCs w:val="20"/>
        </w:rPr>
        <w:t>Estanterías de dos niveles ×2. Dimensiones: 150 cm de largo × 50 cm de ancho × 150 cm de alto. En la primera, el nivel inferior está a 70 cm y el superior a 125 cm; en la segunda, el nivel inferior está a 90 cm y el superior a 125 cm.</w:t>
      </w:r>
    </w:p>
    <w:p>
      <w:pPr>
        <w:spacing w:before="45" w:after="45" w:line="264" w:lineRule="auto"/>
        <w:ind w:left="0"/>
        <w:jc w:val="left"/>
      </w:pPr>
      <w:r>
        <w:rPr>
          <w:rFonts w:eastAsia="等线" w:ascii="Arial" w:cs="Arial" w:hAnsi="Arial"/>
          <w:sz w:val="20"/>
          <w:lang w:val="es-ES" w:eastAsia="es-ES" w:bidi="es-ES"/>
          <w:szCs w:val="20"/>
        </w:rPr>
        <w:t>Cajas retornables ×2. Dimensiones: 40 × 30 × 23 cm.</w:t>
      </w:r>
    </w:p>
    <w:p>
      <w:pPr>
        <w:pStyle w:val="2"/>
        <w:spacing w:before="130" w:after="55" w:line="264" w:lineRule="auto"/>
        <w:ind w:left="0"/>
        <w:jc w:val="left"/>
        <w:outlineLvl w:val="1"/>
        <w:keepNext/>
      </w:pPr>
      <w:r>
        <w:br w:type="page"/>
      </w:r>
      <w:bookmarkStart w:name="heading_7" w:id="7"/>
      <w:r>
        <w:rPr>
          <w:rFonts w:eastAsia="等线" w:ascii="Arial" w:cs="Arial" w:hAnsi="Arial"/>
          <w:b w:val="true"/>
          <w:sz w:val="28"/>
          <w:lang w:val="es-ES" w:eastAsia="es-ES" w:bidi="es-ES"/>
          <w:szCs w:val="28"/>
        </w:rPr>
        <w:t>3.2 Requisitos de los puntos</w:t>
      </w:r>
      <w:bookmarkEnd w:id="7"/>
    </w:p>
    <w:p>
      <w:pPr>
        <w:spacing w:before="45" w:after="45" w:line="264" w:lineRule="auto"/>
        <w:ind w:left="0"/>
        <w:jc w:val="left"/>
        <w:keepLines/>
      </w:pPr>
      <w:r>
        <w:rPr>
          <w:rFonts w:eastAsia="等线" w:ascii="Arial" w:cs="Arial" w:hAnsi="Arial"/>
          <w:sz w:val="20"/>
          <w:lang w:val="es-ES" w:eastAsia="es-ES" w:bidi="es-ES"/>
          <w:szCs w:val="20"/>
        </w:rPr>
        <w:t>El robot debe quedar centrado frente a la estantería. La distancia desde el saliente inferior (centro de la banda anticolisión) hasta el centro de la estantería será:</w:t>
      </w:r>
    </w:p>
    <w:p>
      <w:pPr>
        <w:spacing w:before="45" w:after="45" w:line="264" w:lineRule="auto"/>
        <w:ind w:left="0"/>
        <w:jc w:val="left"/>
      </w:pPr>
      <w:r>
        <w:rPr>
          <w:rFonts w:eastAsia="等线" w:ascii="Arial" w:cs="Arial" w:hAnsi="Arial"/>
          <w:sz w:val="20"/>
          <w:lang w:val="es-ES" w:eastAsia="es-ES" w:bidi="es-ES"/>
          <w:szCs w:val="20"/>
        </w:rPr>
        <w:t>get1: 12,5 cm</w:t>
      </w:r>
    </w:p>
    <w:p>
      <w:pPr>
        <w:spacing w:before="45" w:after="45" w:line="264" w:lineRule="auto"/>
        <w:ind w:left="0"/>
        <w:jc w:val="left"/>
      </w:pPr>
      <w:r>
        <w:rPr>
          <w:rFonts w:eastAsia="等线" w:ascii="Arial" w:cs="Arial" w:hAnsi="Arial"/>
          <w:sz w:val="20"/>
          <w:lang w:val="es-ES" w:eastAsia="es-ES" w:bidi="es-ES"/>
          <w:szCs w:val="20"/>
        </w:rPr>
        <w:t>put1: 33,5 cm</w:t>
      </w:r>
    </w:p>
    <w:p>
      <w:pPr>
        <w:spacing w:before="45" w:after="45" w:line="264" w:lineRule="auto"/>
        <w:ind w:left="0"/>
        <w:jc w:val="left"/>
      </w:pPr>
      <w:r>
        <w:rPr>
          <w:rFonts w:eastAsia="等线" w:ascii="Arial" w:cs="Arial" w:hAnsi="Arial"/>
          <w:sz w:val="20"/>
          <w:lang w:val="es-ES" w:eastAsia="es-ES" w:bidi="es-ES"/>
          <w:szCs w:val="20"/>
        </w:rPr>
        <w:t>get2: 12 cm</w:t>
      </w:r>
    </w:p>
    <w:p>
      <w:pPr>
        <w:spacing w:before="45" w:after="45" w:line="264" w:lineRule="auto"/>
        <w:ind w:left="0"/>
        <w:jc w:val="left"/>
      </w:pPr>
      <w:r>
        <w:rPr>
          <w:rFonts w:eastAsia="等线" w:ascii="Arial" w:cs="Arial" w:hAnsi="Arial"/>
          <w:sz w:val="20"/>
          <w:lang w:val="es-ES" w:eastAsia="es-ES" w:bidi="es-ES"/>
          <w:szCs w:val="20"/>
        </w:rPr>
        <w:t>put2: 31 cm</w:t>
      </w:r>
    </w:p>
    <w:p>
      <w:pPr>
        <w:spacing w:before="45" w:after="45" w:line="264" w:lineRule="auto"/>
        <w:ind w:left="0"/>
        <w:jc w:val="left"/>
      </w:pPr>
      <w:r>
        <w:rPr>
          <w:rFonts w:eastAsia="等线" w:ascii="Arial" w:cs="Arial" w:hAnsi="Arial"/>
          <w:sz w:val="20"/>
          <w:lang w:val="es-ES" w:eastAsia="es-ES" w:bidi="es-ES"/>
          <w:szCs w:val="20"/>
        </w:rPr>
        <w:t>Asegúrese de que el punto del robot quede exactamente centrado respecto a la estantería, sin desviación angular (controle el robot con el mando desde un punto alejado sobre la línea central perpendicular a la estantería hasta acercarlo a ella).</w:t>
      </w:r>
    </w:p>
    <w:p>
      <w:pPr>
        <w:pStyle w:val="2"/>
        <w:spacing w:before="130" w:after="55" w:line="264" w:lineRule="auto"/>
        <w:ind w:left="0"/>
        <w:jc w:val="left"/>
        <w:outlineLvl w:val="1"/>
        <w:keepNext/>
      </w:pPr>
      <w:bookmarkStart w:name="heading_8" w:id="8"/>
      <w:r>
        <w:rPr>
          <w:rFonts w:eastAsia="等线" w:ascii="Arial" w:cs="Arial" w:hAnsi="Arial"/>
          <w:b w:val="true"/>
          <w:sz w:val="28"/>
          <w:lang w:val="es-ES" w:eastAsia="es-ES" w:bidi="es-ES"/>
          <w:szCs w:val="28"/>
        </w:rPr>
        <w:t>3.3 Descripción del proceso</w:t>
      </w:r>
      <w:bookmarkEnd w:id="8"/>
    </w:p>
    <w:p>
      <w:pPr>
        <w:numPr>
          <w:numId w:val="11"/>
        </w:numPr>
        <w:spacing w:before="45" w:after="45" w:line="264" w:lineRule="auto"/>
        <w:ind w:left="0"/>
        <w:jc w:val="left"/>
      </w:pPr>
      <w:r>
        <w:rPr>
          <w:rFonts w:eastAsia="等线" w:ascii="Arial" w:cs="Arial" w:hAnsi="Arial"/>
          <w:sz w:val="20"/>
          <w:lang w:val="es-ES" w:eastAsia="es-ES" w:bidi="es-ES"/>
          <w:szCs w:val="20"/>
        </w:rPr>
        <w:t>La primera vez que se ejecute el proceso completo después de encender el robot, desplace el interruptor G del mando hacia la derecha y devuélvalo a su posición. Cuando el robot solicite configurar el mapa y anuncie que la localización de navegación se ha realizado correctamente, comenzará a ejecutar las siguientes tareas.</w:t>
      </w:r>
    </w:p>
    <w:p>
      <w:pPr>
        <w:numPr>
          <w:numId w:val="12"/>
        </w:numPr>
        <w:spacing w:before="45" w:after="45" w:line="264" w:lineRule="auto"/>
        <w:ind w:left="0"/>
        <w:jc w:val="left"/>
      </w:pPr>
      <w:r>
        <w:rPr>
          <w:rFonts w:eastAsia="等线" w:ascii="Arial" w:cs="Arial" w:hAnsi="Arial"/>
          <w:sz w:val="20"/>
          <w:lang w:val="es-ES" w:eastAsia="es-ES" w:bidi="es-ES"/>
          <w:szCs w:val="20"/>
        </w:rPr>
        <w:t>El robot navegará primero hasta get1, extraerá la caja retornable con carga del nivel inferior de la estantería 1; después navegará hasta put2 y colocará la caja en el nivel inferior de la estantería 2.</w:t>
      </w:r>
    </w:p>
    <w:p>
      <w:pPr>
        <w:numPr>
          <w:numId w:val="13"/>
        </w:numPr>
        <w:spacing w:before="45" w:after="45" w:line="264" w:lineRule="auto"/>
        <w:ind w:left="0"/>
        <w:jc w:val="left"/>
      </w:pPr>
      <w:r>
        <w:rPr>
          <w:rFonts w:eastAsia="等线" w:ascii="Arial" w:cs="Arial" w:hAnsi="Arial"/>
          <w:sz w:val="20"/>
          <w:lang w:val="es-ES" w:eastAsia="es-ES" w:bidi="es-ES"/>
          <w:szCs w:val="20"/>
        </w:rPr>
        <w:t>A continuación, navegará hasta get2, extraerá la caja retornable vacía del nivel superior de la estantería 2; después navegará hasta put1 y colocará la caja en el nivel superior de la estantería 1.</w:t>
      </w:r>
    </w:p>
    <w:p>
      <w:pPr>
        <w:pStyle w:val="1"/>
        <w:spacing w:before="190" w:after="80" w:line="264" w:lineRule="auto"/>
        <w:ind w:left="0"/>
        <w:jc w:val="left"/>
        <w:outlineLvl w:val="0"/>
        <w:keepNext/>
      </w:pPr>
      <w:bookmarkStart w:name="heading_9" w:id="9"/>
      <w:r>
        <w:rPr>
          <w:rFonts w:eastAsia="等线" w:ascii="Arial" w:cs="Arial" w:hAnsi="Arial"/>
          <w:b w:val="true"/>
          <w:sz w:val="32"/>
          <w:lang w:val="es-ES" w:eastAsia="es-ES" w:bidi="es-ES"/>
          <w:szCs w:val="32"/>
        </w:rPr>
        <w:t>4. Precauciones</w:t>
      </w:r>
      <w:bookmarkEnd w:id="9"/>
    </w:p>
    <w:p>
      <w:pPr>
        <w:numPr>
          <w:numId w:val="14"/>
        </w:numPr>
        <w:spacing w:before="45" w:after="45" w:line="264" w:lineRule="auto"/>
        <w:ind w:left="0"/>
        <w:jc w:val="left"/>
      </w:pPr>
      <w:r>
        <w:rPr>
          <w:rFonts w:eastAsia="等线" w:ascii="Arial" w:cs="Arial" w:hAnsi="Arial"/>
          <w:sz w:val="20"/>
          <w:lang w:val="es-ES" w:eastAsia="es-ES" w:bidi="es-ES"/>
          <w:szCs w:val="20"/>
        </w:rPr>
        <w:t>Inicie la creación del mapa una vez activado el control de movimiento.</w:t>
      </w:r>
    </w:p>
    <w:p>
      <w:pPr>
        <w:numPr>
          <w:numId w:val="15"/>
        </w:numPr>
        <w:spacing w:before="45" w:after="45" w:line="264" w:lineRule="auto"/>
        <w:ind w:left="0"/>
        <w:jc w:val="left"/>
      </w:pPr>
      <w:r>
        <w:rPr>
          <w:rFonts w:eastAsia="等线" w:ascii="Arial" w:cs="Arial" w:hAnsi="Arial"/>
          <w:sz w:val="20"/>
          <w:lang w:val="es-ES" w:eastAsia="es-ES" w:bidi="es-ES"/>
          <w:szCs w:val="20"/>
        </w:rPr>
        <w:t>Evite en lo posible acercarse a paredes blancas u otros entornos sin características visuales distintivas.</w:t>
      </w:r>
    </w:p>
    <w:p>
      <w:pPr>
        <w:numPr>
          <w:numId w:val="16"/>
        </w:numPr>
        <w:spacing w:before="45" w:after="45" w:line="264" w:lineRule="auto"/>
        <w:ind w:left="0"/>
        <w:jc w:val="left"/>
      </w:pPr>
      <w:r>
        <w:rPr>
          <w:rFonts w:eastAsia="等线" w:ascii="Arial" w:cs="Arial" w:hAnsi="Arial"/>
          <w:sz w:val="20"/>
          <w:lang w:val="es-ES" w:eastAsia="es-ES" w:bidi="es-ES"/>
          <w:szCs w:val="20"/>
        </w:rPr>
        <w:t>Cuando haya finalizado una ejecución y sea necesario continuar, desplace el interruptor E del mando hacia abajo y devuélvalo al centro; después desplace el interruptor G hacia la derecha y devuélvalo a su posición. El robot continuará la ejecución. Antes de continuar, vuelva a colocar las cajas retornables en sus posiciones iniciales.</w:t>
      </w:r>
    </w:p>
    <w:p>
      <w:pPr>
        <w:numPr>
          <w:numId w:val="17"/>
        </w:numPr>
        <w:spacing w:before="45" w:after="45" w:line="264" w:lineRule="auto"/>
        <w:ind w:left="0"/>
        <w:jc w:val="left"/>
      </w:pPr>
      <w:r>
        <w:rPr>
          <w:rFonts w:eastAsia="等线" w:ascii="Arial" w:cs="Arial" w:hAnsi="Arial"/>
          <w:sz w:val="20"/>
          <w:lang w:val="es-ES" w:eastAsia="es-ES" w:bidi="es-ES"/>
          <w:szCs w:val="20"/>
        </w:rPr>
        <w:t>Durante una tarea no es posible controlar el avance del robot con el mando. Pulse la tecla A: el robot navegará hasta el siguiente punto y detendrá la tarea. A partir de ese momento se puede tomar el control mediante el mando y desplazar el robot. Para volver a ejecutar la tarea será necesario reiniciar el robot.</w:t>
      </w:r>
    </w:p>
    <w:p>
      <w:pPr>
        <w:numPr>
          <w:numId w:val="18"/>
        </w:numPr>
        <w:spacing w:before="45" w:after="45" w:line="264" w:lineRule="auto"/>
        <w:ind w:left="0"/>
        <w:jc w:val="left"/>
      </w:pPr>
      <w:r>
        <w:rPr>
          <w:rFonts w:eastAsia="等线" w:ascii="Arial" w:cs="Arial" w:hAnsi="Arial"/>
          <w:b w:val="true"/>
          <w:color w:val="d83931"/>
          <w:sz w:val="20"/>
          <w:lang w:val="es-ES" w:eastAsia="es-ES" w:bidi="es-ES"/>
          <w:szCs w:val="20"/>
        </w:rPr>
        <w:t>[ADVERTENCIA ESPECIAL] No active el control de movimiento cuando el robot esté en la base de carga o conectado a un cargador por cable. Debe impedirse cualquier movimiento, ya que podría dañarse el hardware y quemarse los transistores MOSFET.</w:t>
      </w: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朱建军 2683"/>
          <v:fill opacity="0.3"/>
        </v:shape>
      </w:pict>
    </w:r>
  </w:p>
</w:hdr>
</file>

<file path=word/numbering.xml><?xml version="1.0" encoding="utf-8"?>
<w:numbering xmlns:w="http://schemas.openxmlformats.org/wordprocessingml/2006/main">
  <w:abstractNum w:abstractNumId="494818">
    <w:lvl>
      <w:start w:val="1"/>
      <w:numFmt w:val="decimal"/>
      <w:suff w:val="tab"/>
      <w:lvlText w:val="%1."/>
      <w:rPr>
        <w:color w:val="3370ff"/>
      </w:rPr>
    </w:lvl>
  </w:abstractNum>
  <w:abstractNum w:abstractNumId="494819">
    <w:lvl>
      <w:start w:val="2"/>
      <w:numFmt w:val="decimal"/>
      <w:suff w:val="tab"/>
      <w:lvlText w:val="%1."/>
      <w:rPr>
        <w:color w:val="3370ff"/>
      </w:rPr>
    </w:lvl>
  </w:abstractNum>
  <w:abstractNum w:abstractNumId="494820">
    <w:lvl>
      <w:start w:val="3"/>
      <w:numFmt w:val="decimal"/>
      <w:suff w:val="tab"/>
      <w:lvlText w:val="%1."/>
      <w:rPr>
        <w:color w:val="3370ff"/>
      </w:rPr>
    </w:lvl>
  </w:abstractNum>
  <w:abstractNum w:abstractNumId="494821">
    <w:lvl>
      <w:start w:val="4"/>
      <w:numFmt w:val="decimal"/>
      <w:suff w:val="tab"/>
      <w:lvlText w:val="%1."/>
      <w:rPr>
        <w:color w:val="3370ff"/>
      </w:rPr>
    </w:lvl>
  </w:abstractNum>
  <w:abstractNum w:abstractNumId="494822">
    <w:lvl>
      <w:start w:val="5"/>
      <w:numFmt w:val="decimal"/>
      <w:suff w:val="tab"/>
      <w:lvlText w:val="%1."/>
      <w:rPr>
        <w:color w:val="3370ff"/>
      </w:rPr>
    </w:lvl>
  </w:abstractNum>
  <w:abstractNum w:abstractNumId="494823">
    <w:lvl>
      <w:start w:val="6"/>
      <w:numFmt w:val="decimal"/>
      <w:suff w:val="tab"/>
      <w:lvlText w:val="%1."/>
      <w:rPr>
        <w:color w:val="3370ff"/>
      </w:rPr>
    </w:lvl>
  </w:abstractNum>
  <w:abstractNum w:abstractNumId="494824">
    <w:lvl>
      <w:numFmt w:val="bullet"/>
      <w:suff w:val="tab"/>
      <w:lvlText w:val="•"/>
      <w:rPr>
        <w:color w:val="3370ff"/>
      </w:rPr>
    </w:lvl>
  </w:abstractNum>
  <w:abstractNum w:abstractNumId="494825">
    <w:lvl>
      <w:start w:val="1"/>
      <w:numFmt w:val="decimal"/>
      <w:suff w:val="tab"/>
      <w:lvlText w:val="%1."/>
      <w:rPr>
        <w:color w:val="3370ff"/>
      </w:rPr>
    </w:lvl>
  </w:abstractNum>
  <w:abstractNum w:abstractNumId="494826">
    <w:lvl>
      <w:start w:val="2"/>
      <w:numFmt w:val="decimal"/>
      <w:suff w:val="tab"/>
      <w:lvlText w:val="%1."/>
      <w:rPr>
        <w:color w:val="3370ff"/>
      </w:rPr>
    </w:lvl>
  </w:abstractNum>
  <w:abstractNum w:abstractNumId="494827">
    <w:lvl>
      <w:start w:val="3"/>
      <w:numFmt w:val="decimal"/>
      <w:suff w:val="tab"/>
      <w:lvlText w:val="%1."/>
      <w:rPr>
        <w:color w:val="3370ff"/>
      </w:rPr>
    </w:lvl>
  </w:abstractNum>
  <w:abstractNum w:abstractNumId="494828">
    <w:lvl>
      <w:numFmt w:val="bullet"/>
      <w:suff w:val="tab"/>
      <w:lvlText w:val="•"/>
      <w:rPr>
        <w:color w:val="3370ff"/>
      </w:rPr>
    </w:lvl>
  </w:abstractNum>
  <w:abstractNum w:abstractNumId="494829">
    <w:lvl>
      <w:start w:val="1"/>
      <w:numFmt w:val="decimal"/>
      <w:suff w:val="tab"/>
      <w:lvlText w:val="%1."/>
      <w:rPr>
        <w:color w:val="3370ff"/>
      </w:rPr>
    </w:lvl>
  </w:abstractNum>
  <w:abstractNum w:abstractNumId="494830">
    <w:lvl>
      <w:start w:val="2"/>
      <w:numFmt w:val="decimal"/>
      <w:suff w:val="tab"/>
      <w:lvlText w:val="%1."/>
      <w:rPr>
        <w:color w:val="3370ff"/>
      </w:rPr>
    </w:lvl>
  </w:abstractNum>
  <w:abstractNum w:abstractNumId="494831">
    <w:lvl>
      <w:start w:val="1"/>
      <w:numFmt w:val="decimal"/>
      <w:suff w:val="tab"/>
      <w:lvlText w:val="%1."/>
      <w:rPr>
        <w:color w:val="3370ff"/>
      </w:rPr>
    </w:lvl>
  </w:abstractNum>
  <w:abstractNum w:abstractNumId="494832">
    <w:lvl>
      <w:start w:val="2"/>
      <w:numFmt w:val="decimal"/>
      <w:suff w:val="tab"/>
      <w:lvlText w:val="%1."/>
      <w:rPr>
        <w:color w:val="3370ff"/>
      </w:rPr>
    </w:lvl>
  </w:abstractNum>
  <w:abstractNum w:abstractNumId="494833">
    <w:lvl>
      <w:start w:val="3"/>
      <w:numFmt w:val="decimal"/>
      <w:suff w:val="tab"/>
      <w:lvlText w:val="%1."/>
      <w:rPr>
        <w:color w:val="3370ff"/>
      </w:rPr>
    </w:lvl>
  </w:abstractNum>
  <w:abstractNum w:abstractNumId="494834">
    <w:lvl>
      <w:start w:val="4"/>
      <w:numFmt w:val="decimal"/>
      <w:suff w:val="tab"/>
      <w:lvlText w:val="%1."/>
      <w:rPr>
        <w:color w:val="3370ff"/>
      </w:rPr>
    </w:lvl>
  </w:abstractNum>
  <w:abstractNum w:abstractNumId="494835">
    <w:lvl>
      <w:start w:val="5"/>
      <w:numFmt w:val="decimal"/>
      <w:suff w:val="tab"/>
      <w:lvlText w:val="%1."/>
      <w:rPr>
        <w:color w:val="3370ff"/>
      </w:rPr>
    </w:lvl>
  </w:abstractNum>
  <w:num w:numId="1">
    <w:abstractNumId w:val="494818"/>
  </w:num>
  <w:num w:numId="2">
    <w:abstractNumId w:val="494819"/>
  </w:num>
  <w:num w:numId="3">
    <w:abstractNumId w:val="494820"/>
  </w:num>
  <w:num w:numId="4">
    <w:abstractNumId w:val="494821"/>
  </w:num>
  <w:num w:numId="5">
    <w:abstractNumId w:val="494822"/>
  </w:num>
  <w:num w:numId="6">
    <w:abstractNumId w:val="494823"/>
  </w:num>
  <w:num w:numId="7">
    <w:abstractNumId w:val="494824"/>
  </w:num>
  <w:num w:numId="8">
    <w:abstractNumId w:val="494825"/>
  </w:num>
  <w:num w:numId="9">
    <w:abstractNumId w:val="494826"/>
  </w:num>
  <w:num w:numId="10">
    <w:abstractNumId w:val="494827"/>
  </w:num>
  <w:num w:numId="11">
    <w:abstractNumId w:val="494828"/>
  </w:num>
  <w:num w:numId="12">
    <w:abstractNumId w:val="494829"/>
  </w:num>
  <w:num w:numId="13">
    <w:abstractNumId w:val="494830"/>
  </w:num>
  <w:num w:numId="14">
    <w:abstractNumId w:val="494831"/>
  </w:num>
  <w:num w:numId="15">
    <w:abstractNumId w:val="494832"/>
  </w:num>
  <w:num w:numId="16">
    <w:abstractNumId w:val="494833"/>
  </w:num>
  <w:num w:numId="17">
    <w:abstractNumId w:val="494834"/>
  </w:num>
  <w:num w:numId="18">
    <w:abstractNumId w:val="4948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2026-04-13T06:54:15Z</dcterms:created>
  <dc:creator>Apache POI</dc:creator>
</cp:coreProperties>
</file>