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CB66D" w14:textId="342CEE35" w:rsidR="00121769" w:rsidRPr="001102EB" w:rsidRDefault="003C6DFC" w:rsidP="003C6DFC">
      <w:pPr>
        <w:pStyle w:val="Strong1"/>
      </w:pPr>
      <w:r>
        <w:rPr>
          <w:noProof/>
        </w:rPr>
        <w:drawing>
          <wp:inline distT="0" distB="0" distL="0" distR="0" wp14:anchorId="3ABB2DB1" wp14:editId="2C7770F9">
            <wp:extent cx="5731510" cy="10026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002665"/>
                    </a:xfrm>
                    <a:prstGeom prst="rect">
                      <a:avLst/>
                    </a:prstGeom>
                  </pic:spPr>
                </pic:pic>
              </a:graphicData>
            </a:graphic>
          </wp:inline>
        </w:drawing>
      </w:r>
    </w:p>
    <w:p w14:paraId="680F16A9" w14:textId="77777777" w:rsidR="00121769" w:rsidRPr="001102EB" w:rsidRDefault="00000000" w:rsidP="003C6DFC">
      <w:pPr>
        <w:pStyle w:val="Strong1"/>
        <w:jc w:val="center"/>
      </w:pPr>
      <w:r w:rsidRPr="001102EB">
        <w:rPr>
          <w:color w:val="117A65"/>
        </w:rPr>
        <w:t>R E S E A R C H   D O C U M E N T</w:t>
      </w:r>
    </w:p>
    <w:p w14:paraId="25E551E6" w14:textId="77777777" w:rsidR="00121769" w:rsidRPr="001102EB" w:rsidRDefault="00121769" w:rsidP="008B29E5">
      <w:pPr>
        <w:pBdr>
          <w:bottom w:val="single" w:sz="12" w:space="10" w:color="0B3C49"/>
        </w:pBdr>
        <w:spacing w:after="60"/>
        <w:rPr>
          <w:rFonts w:ascii="Times New Roman" w:hAnsi="Times New Roman" w:cs="Times New Roman"/>
          <w:sz w:val="22"/>
          <w:szCs w:val="22"/>
        </w:rPr>
      </w:pPr>
    </w:p>
    <w:p w14:paraId="6983ABBC" w14:textId="77777777" w:rsidR="00121769" w:rsidRPr="001102EB" w:rsidRDefault="00121769" w:rsidP="008B29E5">
      <w:pPr>
        <w:spacing w:after="220"/>
        <w:rPr>
          <w:rFonts w:ascii="Times New Roman" w:hAnsi="Times New Roman" w:cs="Times New Roman"/>
          <w:sz w:val="22"/>
          <w:szCs w:val="22"/>
        </w:rPr>
      </w:pPr>
    </w:p>
    <w:p w14:paraId="7B603A90" w14:textId="116A0CBD" w:rsidR="00121769" w:rsidRPr="00975934" w:rsidRDefault="0038071D" w:rsidP="008B29E5">
      <w:pPr>
        <w:spacing w:after="140"/>
        <w:jc w:val="center"/>
        <w:rPr>
          <w:rFonts w:ascii="Times New Roman" w:hAnsi="Times New Roman" w:cs="Times New Roman"/>
          <w:b/>
          <w:bCs/>
          <w:color w:val="auto"/>
          <w:sz w:val="28"/>
          <w:szCs w:val="28"/>
        </w:rPr>
      </w:pPr>
      <w:r>
        <w:rPr>
          <w:rFonts w:ascii="Times New Roman" w:eastAsia="Cambria" w:hAnsi="Times New Roman" w:cs="Times New Roman"/>
          <w:b/>
          <w:bCs/>
          <w:color w:val="auto"/>
          <w:sz w:val="28"/>
          <w:szCs w:val="28"/>
        </w:rPr>
        <w:t xml:space="preserve">PROJECT: </w:t>
      </w:r>
      <w:r w:rsidR="008B29E5" w:rsidRPr="00975934">
        <w:rPr>
          <w:rFonts w:ascii="Times New Roman" w:eastAsia="Cambria" w:hAnsi="Times New Roman" w:cs="Times New Roman"/>
          <w:b/>
          <w:bCs/>
          <w:color w:val="auto"/>
          <w:sz w:val="28"/>
          <w:szCs w:val="28"/>
        </w:rPr>
        <w:t>TURNAROUND</w:t>
      </w:r>
    </w:p>
    <w:p w14:paraId="35B39C67" w14:textId="24727B59" w:rsidR="00121769" w:rsidRPr="008B29E5" w:rsidRDefault="008B29E5" w:rsidP="008B29E5">
      <w:pPr>
        <w:spacing w:after="260"/>
        <w:jc w:val="center"/>
        <w:rPr>
          <w:rFonts w:ascii="Times New Roman" w:hAnsi="Times New Roman" w:cs="Times New Roman"/>
          <w:b/>
          <w:bCs/>
          <w:sz w:val="22"/>
          <w:szCs w:val="22"/>
        </w:rPr>
      </w:pPr>
      <w:r w:rsidRPr="008B29E5">
        <w:rPr>
          <w:rFonts w:ascii="Times New Roman" w:eastAsia="Cambria" w:hAnsi="Times New Roman" w:cs="Times New Roman"/>
          <w:b/>
          <w:bCs/>
          <w:sz w:val="22"/>
          <w:szCs w:val="22"/>
        </w:rPr>
        <w:t>RESEARCH VALIDATION OF A DELAY-VISIBILITY AND COST-INTELLIGENCE PLATFORM FOR EAST AFRICAN CORRIDOR LOGISTICS</w:t>
      </w:r>
    </w:p>
    <w:p w14:paraId="0F8D752E" w14:textId="11020F21" w:rsidR="00975934" w:rsidRDefault="00975934" w:rsidP="008B29E5">
      <w:pPr>
        <w:spacing w:after="420"/>
        <w:jc w:val="center"/>
        <w:rPr>
          <w:rFonts w:ascii="Times New Roman" w:hAnsi="Times New Roman" w:cs="Times New Roman"/>
          <w:b/>
          <w:bCs/>
          <w:color w:val="auto"/>
          <w:sz w:val="22"/>
          <w:szCs w:val="22"/>
        </w:rPr>
      </w:pPr>
      <w:r w:rsidRPr="00975934">
        <w:rPr>
          <w:rFonts w:ascii="Times New Roman" w:hAnsi="Times New Roman" w:cs="Times New Roman"/>
          <w:b/>
          <w:bCs/>
          <w:color w:val="auto"/>
          <w:sz w:val="22"/>
          <w:szCs w:val="22"/>
        </w:rPr>
        <w:t>SCOPE: NORTHERN CORRIDOR (MOMBASA) AND CENTRAL</w:t>
      </w:r>
      <w:r w:rsidRPr="00975934">
        <w:rPr>
          <w:rFonts w:ascii="Times New Roman" w:hAnsi="Times New Roman" w:cs="Times New Roman"/>
          <w:b/>
          <w:bCs/>
          <w:color w:val="auto"/>
          <w:sz w:val="22"/>
          <w:szCs w:val="22"/>
        </w:rPr>
        <w:br/>
        <w:t>CORRIDOR (DAR ES SALAAM); COMPARATIVE SUB-SAHARAN EVIDENCE</w:t>
      </w:r>
      <w:r>
        <w:rPr>
          <w:rFonts w:ascii="Times New Roman" w:hAnsi="Times New Roman" w:cs="Times New Roman"/>
          <w:b/>
          <w:bCs/>
          <w:color w:val="auto"/>
          <w:sz w:val="22"/>
          <w:szCs w:val="22"/>
        </w:rPr>
        <w:t>.</w:t>
      </w:r>
    </w:p>
    <w:p w14:paraId="2987154F" w14:textId="32EB8961" w:rsidR="00975934" w:rsidRPr="00975934" w:rsidRDefault="00975934" w:rsidP="008B29E5">
      <w:pPr>
        <w:spacing w:after="420"/>
        <w:jc w:val="center"/>
        <w:rPr>
          <w:rFonts w:ascii="Times New Roman" w:hAnsi="Times New Roman" w:cs="Times New Roman"/>
          <w:b/>
          <w:bCs/>
          <w:color w:val="auto"/>
          <w:sz w:val="22"/>
          <w:szCs w:val="22"/>
        </w:rPr>
      </w:pPr>
      <w:r>
        <w:rPr>
          <w:rFonts w:ascii="Times New Roman" w:hAnsi="Times New Roman" w:cs="Times New Roman"/>
          <w:b/>
          <w:bCs/>
          <w:color w:val="auto"/>
          <w:sz w:val="22"/>
          <w:szCs w:val="22"/>
        </w:rPr>
        <w:t xml:space="preserve">EVIDENCE BASE: </w:t>
      </w:r>
      <w:r w:rsidRPr="00975934">
        <w:rPr>
          <w:rFonts w:ascii="Times New Roman" w:hAnsi="Times New Roman" w:cs="Times New Roman"/>
          <w:b/>
          <w:bCs/>
          <w:color w:val="auto"/>
          <w:sz w:val="22"/>
          <w:szCs w:val="22"/>
        </w:rPr>
        <w:t>27 PEER-REVIEWED ARTICLES, WORKING PAPERS AND INSTITUTIONAL STUDIES</w:t>
      </w:r>
      <w:r>
        <w:rPr>
          <w:rFonts w:ascii="Times New Roman" w:hAnsi="Times New Roman" w:cs="Times New Roman"/>
          <w:b/>
          <w:bCs/>
          <w:color w:val="auto"/>
          <w:sz w:val="22"/>
          <w:szCs w:val="22"/>
        </w:rPr>
        <w:t>.</w:t>
      </w:r>
    </w:p>
    <w:p w14:paraId="46BC6794" w14:textId="266F0402" w:rsidR="00F73FD0" w:rsidRPr="00F73FD0" w:rsidRDefault="00F73FD0" w:rsidP="008B29E5">
      <w:pPr>
        <w:spacing w:after="420"/>
        <w:jc w:val="center"/>
        <w:rPr>
          <w:rFonts w:ascii="Times New Roman" w:hAnsi="Times New Roman" w:cs="Times New Roman"/>
          <w:b/>
          <w:bCs/>
          <w:color w:val="auto"/>
          <w:sz w:val="22"/>
          <w:szCs w:val="22"/>
        </w:rPr>
      </w:pPr>
      <w:r w:rsidRPr="00F73FD0">
        <w:rPr>
          <w:rFonts w:ascii="Times New Roman" w:hAnsi="Times New Roman" w:cs="Times New Roman"/>
          <w:b/>
          <w:bCs/>
          <w:color w:val="auto"/>
          <w:sz w:val="22"/>
          <w:szCs w:val="22"/>
        </w:rPr>
        <w:t>BY</w:t>
      </w:r>
    </w:p>
    <w:p w14:paraId="7C3F1CCF" w14:textId="21140E95" w:rsidR="00F73FD0" w:rsidRDefault="00F73FD0" w:rsidP="008B29E5">
      <w:pPr>
        <w:spacing w:after="420"/>
        <w:jc w:val="center"/>
        <w:rPr>
          <w:rFonts w:ascii="Times New Roman" w:hAnsi="Times New Roman" w:cs="Times New Roman"/>
          <w:b/>
          <w:bCs/>
          <w:color w:val="auto"/>
          <w:sz w:val="22"/>
          <w:szCs w:val="22"/>
        </w:rPr>
      </w:pPr>
      <w:r w:rsidRPr="00F73FD0">
        <w:rPr>
          <w:rFonts w:ascii="Times New Roman" w:hAnsi="Times New Roman" w:cs="Times New Roman"/>
          <w:b/>
          <w:bCs/>
          <w:color w:val="auto"/>
          <w:sz w:val="22"/>
          <w:szCs w:val="22"/>
        </w:rPr>
        <w:t>IDDY K. CHESIRE</w:t>
      </w:r>
    </w:p>
    <w:p w14:paraId="7CA5EFFE" w14:textId="4F6BA801" w:rsidR="00975934" w:rsidRPr="00F73FD0" w:rsidRDefault="00975934" w:rsidP="008B29E5">
      <w:pPr>
        <w:spacing w:after="420"/>
        <w:jc w:val="center"/>
        <w:rPr>
          <w:rFonts w:ascii="Times New Roman" w:hAnsi="Times New Roman" w:cs="Times New Roman"/>
          <w:b/>
          <w:bCs/>
          <w:color w:val="auto"/>
          <w:sz w:val="22"/>
          <w:szCs w:val="22"/>
        </w:rPr>
      </w:pPr>
    </w:p>
    <w:p w14:paraId="4B2BE746" w14:textId="77777777" w:rsidR="00121769" w:rsidRPr="001102EB" w:rsidRDefault="00121769" w:rsidP="008B29E5">
      <w:pPr>
        <w:spacing w:after="900"/>
        <w:rPr>
          <w:rFonts w:ascii="Times New Roman" w:hAnsi="Times New Roman" w:cs="Times New Roman"/>
          <w:sz w:val="22"/>
          <w:szCs w:val="22"/>
        </w:rPr>
      </w:pPr>
    </w:p>
    <w:p w14:paraId="15E0CA3C" w14:textId="77777777" w:rsidR="00121769" w:rsidRPr="001102EB" w:rsidRDefault="00000000">
      <w:pPr>
        <w:rPr>
          <w:rFonts w:ascii="Times New Roman" w:hAnsi="Times New Roman" w:cs="Times New Roman"/>
          <w:sz w:val="22"/>
          <w:szCs w:val="22"/>
        </w:rPr>
      </w:pPr>
      <w:r w:rsidRPr="001102EB">
        <w:rPr>
          <w:rFonts w:ascii="Times New Roman" w:hAnsi="Times New Roman" w:cs="Times New Roman"/>
          <w:sz w:val="22"/>
          <w:szCs w:val="22"/>
        </w:rPr>
        <w:br w:type="page"/>
      </w:r>
    </w:p>
    <w:sdt>
      <w:sdtPr>
        <w:rPr>
          <w:rFonts w:ascii="Times New Roman" w:eastAsia="Calibri" w:hAnsi="Times New Roman" w:cs="Times New Roman"/>
          <w:b/>
          <w:bCs/>
          <w:color w:val="2B2B2B"/>
          <w:sz w:val="22"/>
          <w:szCs w:val="22"/>
        </w:rPr>
        <w:id w:val="1247148434"/>
        <w:docPartObj>
          <w:docPartGallery w:val="Table of Contents"/>
          <w:docPartUnique/>
        </w:docPartObj>
      </w:sdtPr>
      <w:sdtEndPr>
        <w:rPr>
          <w:noProof/>
        </w:rPr>
      </w:sdtEndPr>
      <w:sdtContent>
        <w:p w14:paraId="52194A42" w14:textId="2D5AECDB" w:rsidR="001102EB" w:rsidRPr="008B29E5" w:rsidRDefault="001102EB">
          <w:pPr>
            <w:pStyle w:val="TOCHeading"/>
            <w:rPr>
              <w:rFonts w:ascii="Times New Roman" w:hAnsi="Times New Roman" w:cs="Times New Roman"/>
              <w:b/>
              <w:bCs/>
              <w:sz w:val="22"/>
              <w:szCs w:val="22"/>
            </w:rPr>
          </w:pPr>
          <w:r w:rsidRPr="008B29E5">
            <w:rPr>
              <w:rFonts w:ascii="Times New Roman" w:hAnsi="Times New Roman" w:cs="Times New Roman"/>
              <w:b/>
              <w:bCs/>
              <w:sz w:val="22"/>
              <w:szCs w:val="22"/>
            </w:rPr>
            <w:t>Table of Contents</w:t>
          </w:r>
        </w:p>
        <w:p w14:paraId="0E6DAC9E" w14:textId="4E0DFABE" w:rsidR="008B29E5" w:rsidRDefault="001102E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rsidRPr="001102EB">
            <w:rPr>
              <w:rFonts w:ascii="Times New Roman" w:hAnsi="Times New Roman" w:cs="Times New Roman"/>
              <w:sz w:val="22"/>
              <w:szCs w:val="22"/>
            </w:rPr>
            <w:fldChar w:fldCharType="begin"/>
          </w:r>
          <w:r w:rsidRPr="001102EB">
            <w:rPr>
              <w:rFonts w:ascii="Times New Roman" w:hAnsi="Times New Roman" w:cs="Times New Roman"/>
              <w:sz w:val="22"/>
              <w:szCs w:val="22"/>
            </w:rPr>
            <w:instrText xml:space="preserve"> TOC \o "1-3" \h \z \u </w:instrText>
          </w:r>
          <w:r w:rsidRPr="001102EB">
            <w:rPr>
              <w:rFonts w:ascii="Times New Roman" w:hAnsi="Times New Roman" w:cs="Times New Roman"/>
              <w:sz w:val="22"/>
              <w:szCs w:val="22"/>
            </w:rPr>
            <w:fldChar w:fldCharType="separate"/>
          </w:r>
          <w:hyperlink w:anchor="_Toc240747742" w:history="1">
            <w:r w:rsidR="008B29E5" w:rsidRPr="00DA2E49">
              <w:rPr>
                <w:rStyle w:val="Hyperlink"/>
                <w:rFonts w:ascii="Times New Roman" w:hAnsi="Times New Roman" w:cs="Times New Roman"/>
                <w:noProof/>
              </w:rPr>
              <w:t>1.  Executive Summary</w:t>
            </w:r>
            <w:r w:rsidR="008B29E5">
              <w:rPr>
                <w:noProof/>
                <w:webHidden/>
              </w:rPr>
              <w:tab/>
            </w:r>
            <w:r w:rsidR="008B29E5">
              <w:rPr>
                <w:noProof/>
                <w:webHidden/>
              </w:rPr>
              <w:fldChar w:fldCharType="begin"/>
            </w:r>
            <w:r w:rsidR="008B29E5">
              <w:rPr>
                <w:noProof/>
                <w:webHidden/>
              </w:rPr>
              <w:instrText xml:space="preserve"> PAGEREF _Toc240747742 \h </w:instrText>
            </w:r>
            <w:r w:rsidR="008B29E5">
              <w:rPr>
                <w:noProof/>
                <w:webHidden/>
              </w:rPr>
            </w:r>
            <w:r w:rsidR="008B29E5">
              <w:rPr>
                <w:noProof/>
                <w:webHidden/>
              </w:rPr>
              <w:fldChar w:fldCharType="separate"/>
            </w:r>
            <w:r w:rsidR="008B29E5">
              <w:rPr>
                <w:noProof/>
                <w:webHidden/>
              </w:rPr>
              <w:t>3</w:t>
            </w:r>
            <w:r w:rsidR="008B29E5">
              <w:rPr>
                <w:noProof/>
                <w:webHidden/>
              </w:rPr>
              <w:fldChar w:fldCharType="end"/>
            </w:r>
          </w:hyperlink>
        </w:p>
        <w:p w14:paraId="2083ED70" w14:textId="50571707"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43" w:history="1">
            <w:r w:rsidR="008B29E5" w:rsidRPr="00DA2E49">
              <w:rPr>
                <w:rStyle w:val="Hyperlink"/>
                <w:rFonts w:ascii="Times New Roman" w:hAnsi="Times New Roman" w:cs="Times New Roman"/>
                <w:noProof/>
              </w:rPr>
              <w:t>2.  Introduction, Scope and Method</w:t>
            </w:r>
            <w:r w:rsidR="008B29E5">
              <w:rPr>
                <w:noProof/>
                <w:webHidden/>
              </w:rPr>
              <w:tab/>
            </w:r>
            <w:r w:rsidR="008B29E5">
              <w:rPr>
                <w:noProof/>
                <w:webHidden/>
              </w:rPr>
              <w:fldChar w:fldCharType="begin"/>
            </w:r>
            <w:r w:rsidR="008B29E5">
              <w:rPr>
                <w:noProof/>
                <w:webHidden/>
              </w:rPr>
              <w:instrText xml:space="preserve"> PAGEREF _Toc240747743 \h </w:instrText>
            </w:r>
            <w:r w:rsidR="008B29E5">
              <w:rPr>
                <w:noProof/>
                <w:webHidden/>
              </w:rPr>
            </w:r>
            <w:r w:rsidR="008B29E5">
              <w:rPr>
                <w:noProof/>
                <w:webHidden/>
              </w:rPr>
              <w:fldChar w:fldCharType="separate"/>
            </w:r>
            <w:r w:rsidR="008B29E5">
              <w:rPr>
                <w:noProof/>
                <w:webHidden/>
              </w:rPr>
              <w:t>3</w:t>
            </w:r>
            <w:r w:rsidR="008B29E5">
              <w:rPr>
                <w:noProof/>
                <w:webHidden/>
              </w:rPr>
              <w:fldChar w:fldCharType="end"/>
            </w:r>
          </w:hyperlink>
        </w:p>
        <w:p w14:paraId="00389278" w14:textId="5D68BDE8" w:rsidR="008B29E5" w:rsidRDefault="000000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44" w:history="1">
            <w:r w:rsidR="008B29E5" w:rsidRPr="00DA2E49">
              <w:rPr>
                <w:rStyle w:val="Hyperlink"/>
                <w:rFonts w:ascii="Times New Roman" w:hAnsi="Times New Roman" w:cs="Times New Roman"/>
                <w:noProof/>
              </w:rPr>
              <w:t>2.1  Background</w:t>
            </w:r>
            <w:r w:rsidR="008B29E5">
              <w:rPr>
                <w:noProof/>
                <w:webHidden/>
              </w:rPr>
              <w:tab/>
            </w:r>
            <w:r w:rsidR="008B29E5">
              <w:rPr>
                <w:noProof/>
                <w:webHidden/>
              </w:rPr>
              <w:fldChar w:fldCharType="begin"/>
            </w:r>
            <w:r w:rsidR="008B29E5">
              <w:rPr>
                <w:noProof/>
                <w:webHidden/>
              </w:rPr>
              <w:instrText xml:space="preserve"> PAGEREF _Toc240747744 \h </w:instrText>
            </w:r>
            <w:r w:rsidR="008B29E5">
              <w:rPr>
                <w:noProof/>
                <w:webHidden/>
              </w:rPr>
            </w:r>
            <w:r w:rsidR="008B29E5">
              <w:rPr>
                <w:noProof/>
                <w:webHidden/>
              </w:rPr>
              <w:fldChar w:fldCharType="separate"/>
            </w:r>
            <w:r w:rsidR="008B29E5">
              <w:rPr>
                <w:noProof/>
                <w:webHidden/>
              </w:rPr>
              <w:t>3</w:t>
            </w:r>
            <w:r w:rsidR="008B29E5">
              <w:rPr>
                <w:noProof/>
                <w:webHidden/>
              </w:rPr>
              <w:fldChar w:fldCharType="end"/>
            </w:r>
          </w:hyperlink>
        </w:p>
        <w:p w14:paraId="1557C297" w14:textId="45741F92" w:rsidR="008B29E5" w:rsidRDefault="000000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45" w:history="1">
            <w:r w:rsidR="008B29E5" w:rsidRPr="00DA2E49">
              <w:rPr>
                <w:rStyle w:val="Hyperlink"/>
                <w:rFonts w:ascii="Times New Roman" w:hAnsi="Times New Roman" w:cs="Times New Roman"/>
                <w:noProof/>
              </w:rPr>
              <w:t>2.2 Objectives</w:t>
            </w:r>
            <w:r w:rsidR="008B29E5">
              <w:rPr>
                <w:noProof/>
                <w:webHidden/>
              </w:rPr>
              <w:tab/>
            </w:r>
            <w:r w:rsidR="008B29E5">
              <w:rPr>
                <w:noProof/>
                <w:webHidden/>
              </w:rPr>
              <w:fldChar w:fldCharType="begin"/>
            </w:r>
            <w:r w:rsidR="008B29E5">
              <w:rPr>
                <w:noProof/>
                <w:webHidden/>
              </w:rPr>
              <w:instrText xml:space="preserve"> PAGEREF _Toc240747745 \h </w:instrText>
            </w:r>
            <w:r w:rsidR="008B29E5">
              <w:rPr>
                <w:noProof/>
                <w:webHidden/>
              </w:rPr>
            </w:r>
            <w:r w:rsidR="008B29E5">
              <w:rPr>
                <w:noProof/>
                <w:webHidden/>
              </w:rPr>
              <w:fldChar w:fldCharType="separate"/>
            </w:r>
            <w:r w:rsidR="008B29E5">
              <w:rPr>
                <w:noProof/>
                <w:webHidden/>
              </w:rPr>
              <w:t>4</w:t>
            </w:r>
            <w:r w:rsidR="008B29E5">
              <w:rPr>
                <w:noProof/>
                <w:webHidden/>
              </w:rPr>
              <w:fldChar w:fldCharType="end"/>
            </w:r>
          </w:hyperlink>
        </w:p>
        <w:p w14:paraId="62D0C8C9" w14:textId="74A5C433" w:rsidR="008B29E5" w:rsidRDefault="000000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46" w:history="1">
            <w:r w:rsidR="008B29E5" w:rsidRPr="00DA2E49">
              <w:rPr>
                <w:rStyle w:val="Hyperlink"/>
                <w:rFonts w:ascii="Times New Roman" w:hAnsi="Times New Roman" w:cs="Times New Roman"/>
                <w:noProof/>
              </w:rPr>
              <w:t>2.3 Evidence base and citation currency</w:t>
            </w:r>
            <w:r w:rsidR="008B29E5">
              <w:rPr>
                <w:noProof/>
                <w:webHidden/>
              </w:rPr>
              <w:tab/>
            </w:r>
            <w:r w:rsidR="008B29E5">
              <w:rPr>
                <w:noProof/>
                <w:webHidden/>
              </w:rPr>
              <w:fldChar w:fldCharType="begin"/>
            </w:r>
            <w:r w:rsidR="008B29E5">
              <w:rPr>
                <w:noProof/>
                <w:webHidden/>
              </w:rPr>
              <w:instrText xml:space="preserve"> PAGEREF _Toc240747746 \h </w:instrText>
            </w:r>
            <w:r w:rsidR="008B29E5">
              <w:rPr>
                <w:noProof/>
                <w:webHidden/>
              </w:rPr>
            </w:r>
            <w:r w:rsidR="008B29E5">
              <w:rPr>
                <w:noProof/>
                <w:webHidden/>
              </w:rPr>
              <w:fldChar w:fldCharType="separate"/>
            </w:r>
            <w:r w:rsidR="008B29E5">
              <w:rPr>
                <w:noProof/>
                <w:webHidden/>
              </w:rPr>
              <w:t>4</w:t>
            </w:r>
            <w:r w:rsidR="008B29E5">
              <w:rPr>
                <w:noProof/>
                <w:webHidden/>
              </w:rPr>
              <w:fldChar w:fldCharType="end"/>
            </w:r>
          </w:hyperlink>
        </w:p>
        <w:p w14:paraId="7EB3BC7C" w14:textId="2349C150"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47" w:history="1">
            <w:r w:rsidR="008B29E5" w:rsidRPr="00DA2E49">
              <w:rPr>
                <w:rStyle w:val="Hyperlink"/>
                <w:rFonts w:ascii="Times New Roman" w:hAnsi="Times New Roman" w:cs="Times New Roman"/>
                <w:noProof/>
              </w:rPr>
              <w:t>3.  Problem Statement: The Real Research Problem</w:t>
            </w:r>
            <w:r w:rsidR="008B29E5">
              <w:rPr>
                <w:noProof/>
                <w:webHidden/>
              </w:rPr>
              <w:tab/>
            </w:r>
            <w:r w:rsidR="008B29E5">
              <w:rPr>
                <w:noProof/>
                <w:webHidden/>
              </w:rPr>
              <w:fldChar w:fldCharType="begin"/>
            </w:r>
            <w:r w:rsidR="008B29E5">
              <w:rPr>
                <w:noProof/>
                <w:webHidden/>
              </w:rPr>
              <w:instrText xml:space="preserve"> PAGEREF _Toc240747747 \h </w:instrText>
            </w:r>
            <w:r w:rsidR="008B29E5">
              <w:rPr>
                <w:noProof/>
                <w:webHidden/>
              </w:rPr>
            </w:r>
            <w:r w:rsidR="008B29E5">
              <w:rPr>
                <w:noProof/>
                <w:webHidden/>
              </w:rPr>
              <w:fldChar w:fldCharType="separate"/>
            </w:r>
            <w:r w:rsidR="008B29E5">
              <w:rPr>
                <w:noProof/>
                <w:webHidden/>
              </w:rPr>
              <w:t>5</w:t>
            </w:r>
            <w:r w:rsidR="008B29E5">
              <w:rPr>
                <w:noProof/>
                <w:webHidden/>
              </w:rPr>
              <w:fldChar w:fldCharType="end"/>
            </w:r>
          </w:hyperlink>
        </w:p>
        <w:p w14:paraId="5052E1EC" w14:textId="19A3CB8C" w:rsidR="008B29E5" w:rsidRDefault="000000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48" w:history="1">
            <w:r w:rsidR="008B29E5" w:rsidRPr="00DA2E49">
              <w:rPr>
                <w:rStyle w:val="Hyperlink"/>
                <w:rFonts w:ascii="Times New Roman" w:hAnsi="Times New Roman" w:cs="Times New Roman"/>
                <w:noProof/>
              </w:rPr>
              <w:t>3.1  Time uncertainty as a first-order economic constraint</w:t>
            </w:r>
            <w:r w:rsidR="008B29E5">
              <w:rPr>
                <w:noProof/>
                <w:webHidden/>
              </w:rPr>
              <w:tab/>
            </w:r>
            <w:r w:rsidR="008B29E5">
              <w:rPr>
                <w:noProof/>
                <w:webHidden/>
              </w:rPr>
              <w:fldChar w:fldCharType="begin"/>
            </w:r>
            <w:r w:rsidR="008B29E5">
              <w:rPr>
                <w:noProof/>
                <w:webHidden/>
              </w:rPr>
              <w:instrText xml:space="preserve"> PAGEREF _Toc240747748 \h </w:instrText>
            </w:r>
            <w:r w:rsidR="008B29E5">
              <w:rPr>
                <w:noProof/>
                <w:webHidden/>
              </w:rPr>
            </w:r>
            <w:r w:rsidR="008B29E5">
              <w:rPr>
                <w:noProof/>
                <w:webHidden/>
              </w:rPr>
              <w:fldChar w:fldCharType="separate"/>
            </w:r>
            <w:r w:rsidR="008B29E5">
              <w:rPr>
                <w:noProof/>
                <w:webHidden/>
              </w:rPr>
              <w:t>5</w:t>
            </w:r>
            <w:r w:rsidR="008B29E5">
              <w:rPr>
                <w:noProof/>
                <w:webHidden/>
              </w:rPr>
              <w:fldChar w:fldCharType="end"/>
            </w:r>
          </w:hyperlink>
        </w:p>
        <w:p w14:paraId="16B204C3" w14:textId="0F02E6EA" w:rsidR="008B29E5" w:rsidRDefault="000000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49" w:history="1">
            <w:r w:rsidR="008B29E5" w:rsidRPr="00DA2E49">
              <w:rPr>
                <w:rStyle w:val="Hyperlink"/>
                <w:rFonts w:ascii="Times New Roman" w:hAnsi="Times New Roman" w:cs="Times New Roman"/>
                <w:noProof/>
              </w:rPr>
              <w:t>3.2  Node-level evidence across the corridors</w:t>
            </w:r>
            <w:r w:rsidR="008B29E5">
              <w:rPr>
                <w:noProof/>
                <w:webHidden/>
              </w:rPr>
              <w:tab/>
            </w:r>
            <w:r w:rsidR="008B29E5">
              <w:rPr>
                <w:noProof/>
                <w:webHidden/>
              </w:rPr>
              <w:fldChar w:fldCharType="begin"/>
            </w:r>
            <w:r w:rsidR="008B29E5">
              <w:rPr>
                <w:noProof/>
                <w:webHidden/>
              </w:rPr>
              <w:instrText xml:space="preserve"> PAGEREF _Toc240747749 \h </w:instrText>
            </w:r>
            <w:r w:rsidR="008B29E5">
              <w:rPr>
                <w:noProof/>
                <w:webHidden/>
              </w:rPr>
            </w:r>
            <w:r w:rsidR="008B29E5">
              <w:rPr>
                <w:noProof/>
                <w:webHidden/>
              </w:rPr>
              <w:fldChar w:fldCharType="separate"/>
            </w:r>
            <w:r w:rsidR="008B29E5">
              <w:rPr>
                <w:noProof/>
                <w:webHidden/>
              </w:rPr>
              <w:t>5</w:t>
            </w:r>
            <w:r w:rsidR="008B29E5">
              <w:rPr>
                <w:noProof/>
                <w:webHidden/>
              </w:rPr>
              <w:fldChar w:fldCharType="end"/>
            </w:r>
          </w:hyperlink>
        </w:p>
        <w:p w14:paraId="466D6124" w14:textId="5AC06CB1" w:rsidR="008B29E5" w:rsidRDefault="0000000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50" w:history="1">
            <w:r w:rsidR="008B29E5" w:rsidRPr="00DA2E49">
              <w:rPr>
                <w:rStyle w:val="Hyperlink"/>
                <w:rFonts w:ascii="Times New Roman" w:hAnsi="Times New Roman" w:cs="Times New Roman"/>
                <w:noProof/>
              </w:rPr>
              <w:t>Ports and the Northern Corridor</w:t>
            </w:r>
            <w:r w:rsidR="008B29E5">
              <w:rPr>
                <w:noProof/>
                <w:webHidden/>
              </w:rPr>
              <w:tab/>
            </w:r>
            <w:r w:rsidR="008B29E5">
              <w:rPr>
                <w:noProof/>
                <w:webHidden/>
              </w:rPr>
              <w:fldChar w:fldCharType="begin"/>
            </w:r>
            <w:r w:rsidR="008B29E5">
              <w:rPr>
                <w:noProof/>
                <w:webHidden/>
              </w:rPr>
              <w:instrText xml:space="preserve"> PAGEREF _Toc240747750 \h </w:instrText>
            </w:r>
            <w:r w:rsidR="008B29E5">
              <w:rPr>
                <w:noProof/>
                <w:webHidden/>
              </w:rPr>
            </w:r>
            <w:r w:rsidR="008B29E5">
              <w:rPr>
                <w:noProof/>
                <w:webHidden/>
              </w:rPr>
              <w:fldChar w:fldCharType="separate"/>
            </w:r>
            <w:r w:rsidR="008B29E5">
              <w:rPr>
                <w:noProof/>
                <w:webHidden/>
              </w:rPr>
              <w:t>5</w:t>
            </w:r>
            <w:r w:rsidR="008B29E5">
              <w:rPr>
                <w:noProof/>
                <w:webHidden/>
              </w:rPr>
              <w:fldChar w:fldCharType="end"/>
            </w:r>
          </w:hyperlink>
        </w:p>
        <w:p w14:paraId="6D3473AC" w14:textId="7D8D2550" w:rsidR="008B29E5" w:rsidRDefault="0000000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51" w:history="1">
            <w:r w:rsidR="008B29E5" w:rsidRPr="00DA2E49">
              <w:rPr>
                <w:rStyle w:val="Hyperlink"/>
                <w:rFonts w:ascii="Times New Roman" w:hAnsi="Times New Roman" w:cs="Times New Roman"/>
                <w:noProof/>
              </w:rPr>
              <w:t>Dar es Salaam and the Central Corridor</w:t>
            </w:r>
            <w:r w:rsidR="008B29E5">
              <w:rPr>
                <w:noProof/>
                <w:webHidden/>
              </w:rPr>
              <w:tab/>
            </w:r>
            <w:r w:rsidR="008B29E5">
              <w:rPr>
                <w:noProof/>
                <w:webHidden/>
              </w:rPr>
              <w:fldChar w:fldCharType="begin"/>
            </w:r>
            <w:r w:rsidR="008B29E5">
              <w:rPr>
                <w:noProof/>
                <w:webHidden/>
              </w:rPr>
              <w:instrText xml:space="preserve"> PAGEREF _Toc240747751 \h </w:instrText>
            </w:r>
            <w:r w:rsidR="008B29E5">
              <w:rPr>
                <w:noProof/>
                <w:webHidden/>
              </w:rPr>
            </w:r>
            <w:r w:rsidR="008B29E5">
              <w:rPr>
                <w:noProof/>
                <w:webHidden/>
              </w:rPr>
              <w:fldChar w:fldCharType="separate"/>
            </w:r>
            <w:r w:rsidR="008B29E5">
              <w:rPr>
                <w:noProof/>
                <w:webHidden/>
              </w:rPr>
              <w:t>5</w:t>
            </w:r>
            <w:r w:rsidR="008B29E5">
              <w:rPr>
                <w:noProof/>
                <w:webHidden/>
              </w:rPr>
              <w:fldChar w:fldCharType="end"/>
            </w:r>
          </w:hyperlink>
        </w:p>
        <w:p w14:paraId="10468646" w14:textId="518C6BF4" w:rsidR="008B29E5" w:rsidRDefault="0000000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52" w:history="1">
            <w:r w:rsidR="008B29E5" w:rsidRPr="00DA2E49">
              <w:rPr>
                <w:rStyle w:val="Hyperlink"/>
                <w:rFonts w:ascii="Times New Roman" w:hAnsi="Times New Roman" w:cs="Times New Roman"/>
                <w:noProof/>
              </w:rPr>
              <w:t>Borders, weighbridges and road frictions</w:t>
            </w:r>
            <w:r w:rsidR="008B29E5">
              <w:rPr>
                <w:noProof/>
                <w:webHidden/>
              </w:rPr>
              <w:tab/>
            </w:r>
            <w:r w:rsidR="008B29E5">
              <w:rPr>
                <w:noProof/>
                <w:webHidden/>
              </w:rPr>
              <w:fldChar w:fldCharType="begin"/>
            </w:r>
            <w:r w:rsidR="008B29E5">
              <w:rPr>
                <w:noProof/>
                <w:webHidden/>
              </w:rPr>
              <w:instrText xml:space="preserve"> PAGEREF _Toc240747752 \h </w:instrText>
            </w:r>
            <w:r w:rsidR="008B29E5">
              <w:rPr>
                <w:noProof/>
                <w:webHidden/>
              </w:rPr>
            </w:r>
            <w:r w:rsidR="008B29E5">
              <w:rPr>
                <w:noProof/>
                <w:webHidden/>
              </w:rPr>
              <w:fldChar w:fldCharType="separate"/>
            </w:r>
            <w:r w:rsidR="008B29E5">
              <w:rPr>
                <w:noProof/>
                <w:webHidden/>
              </w:rPr>
              <w:t>6</w:t>
            </w:r>
            <w:r w:rsidR="008B29E5">
              <w:rPr>
                <w:noProof/>
                <w:webHidden/>
              </w:rPr>
              <w:fldChar w:fldCharType="end"/>
            </w:r>
          </w:hyperlink>
        </w:p>
        <w:p w14:paraId="7C99D769" w14:textId="414C7F7B"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53" w:history="1">
            <w:r w:rsidR="008B29E5" w:rsidRPr="00DA2E49">
              <w:rPr>
                <w:rStyle w:val="Hyperlink"/>
                <w:rFonts w:ascii="Times New Roman" w:hAnsi="Times New Roman" w:cs="Times New Roman"/>
                <w:noProof/>
              </w:rPr>
              <w:t>4.  Why Existing Systems Are Insufficient</w:t>
            </w:r>
            <w:r w:rsidR="008B29E5">
              <w:rPr>
                <w:noProof/>
                <w:webHidden/>
              </w:rPr>
              <w:tab/>
            </w:r>
            <w:r w:rsidR="008B29E5">
              <w:rPr>
                <w:noProof/>
                <w:webHidden/>
              </w:rPr>
              <w:fldChar w:fldCharType="begin"/>
            </w:r>
            <w:r w:rsidR="008B29E5">
              <w:rPr>
                <w:noProof/>
                <w:webHidden/>
              </w:rPr>
              <w:instrText xml:space="preserve"> PAGEREF _Toc240747753 \h </w:instrText>
            </w:r>
            <w:r w:rsidR="008B29E5">
              <w:rPr>
                <w:noProof/>
                <w:webHidden/>
              </w:rPr>
            </w:r>
            <w:r w:rsidR="008B29E5">
              <w:rPr>
                <w:noProof/>
                <w:webHidden/>
              </w:rPr>
              <w:fldChar w:fldCharType="separate"/>
            </w:r>
            <w:r w:rsidR="008B29E5">
              <w:rPr>
                <w:noProof/>
                <w:webHidden/>
              </w:rPr>
              <w:t>6</w:t>
            </w:r>
            <w:r w:rsidR="008B29E5">
              <w:rPr>
                <w:noProof/>
                <w:webHidden/>
              </w:rPr>
              <w:fldChar w:fldCharType="end"/>
            </w:r>
          </w:hyperlink>
        </w:p>
        <w:p w14:paraId="34E9C8E3" w14:textId="2ABF0431"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54" w:history="1">
            <w:r w:rsidR="008B29E5" w:rsidRPr="00DA2E49">
              <w:rPr>
                <w:rStyle w:val="Hyperlink"/>
                <w:rFonts w:ascii="Times New Roman" w:hAnsi="Times New Roman" w:cs="Times New Roman"/>
                <w:noProof/>
              </w:rPr>
              <w:t>5.  Evidence by Product Module</w:t>
            </w:r>
            <w:r w:rsidR="008B29E5">
              <w:rPr>
                <w:noProof/>
                <w:webHidden/>
              </w:rPr>
              <w:tab/>
            </w:r>
            <w:r w:rsidR="008B29E5">
              <w:rPr>
                <w:noProof/>
                <w:webHidden/>
              </w:rPr>
              <w:fldChar w:fldCharType="begin"/>
            </w:r>
            <w:r w:rsidR="008B29E5">
              <w:rPr>
                <w:noProof/>
                <w:webHidden/>
              </w:rPr>
              <w:instrText xml:space="preserve"> PAGEREF _Toc240747754 \h </w:instrText>
            </w:r>
            <w:r w:rsidR="008B29E5">
              <w:rPr>
                <w:noProof/>
                <w:webHidden/>
              </w:rPr>
            </w:r>
            <w:r w:rsidR="008B29E5">
              <w:rPr>
                <w:noProof/>
                <w:webHidden/>
              </w:rPr>
              <w:fldChar w:fldCharType="separate"/>
            </w:r>
            <w:r w:rsidR="008B29E5">
              <w:rPr>
                <w:noProof/>
                <w:webHidden/>
              </w:rPr>
              <w:t>7</w:t>
            </w:r>
            <w:r w:rsidR="008B29E5">
              <w:rPr>
                <w:noProof/>
                <w:webHidden/>
              </w:rPr>
              <w:fldChar w:fldCharType="end"/>
            </w:r>
          </w:hyperlink>
        </w:p>
        <w:p w14:paraId="07CC7C1E" w14:textId="6459EB4A"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55" w:history="1">
            <w:r w:rsidR="008B29E5" w:rsidRPr="00DA2E49">
              <w:rPr>
                <w:rStyle w:val="Hyperlink"/>
                <w:rFonts w:ascii="Times New Roman" w:hAnsi="Times New Roman" w:cs="Times New Roman"/>
                <w:noProof/>
              </w:rPr>
              <w:t>6.  Operational and Market Evidence</w:t>
            </w:r>
            <w:r w:rsidR="008B29E5">
              <w:rPr>
                <w:noProof/>
                <w:webHidden/>
              </w:rPr>
              <w:tab/>
            </w:r>
            <w:r w:rsidR="008B29E5">
              <w:rPr>
                <w:noProof/>
                <w:webHidden/>
              </w:rPr>
              <w:fldChar w:fldCharType="begin"/>
            </w:r>
            <w:r w:rsidR="008B29E5">
              <w:rPr>
                <w:noProof/>
                <w:webHidden/>
              </w:rPr>
              <w:instrText xml:space="preserve"> PAGEREF _Toc240747755 \h </w:instrText>
            </w:r>
            <w:r w:rsidR="008B29E5">
              <w:rPr>
                <w:noProof/>
                <w:webHidden/>
              </w:rPr>
            </w:r>
            <w:r w:rsidR="008B29E5">
              <w:rPr>
                <w:noProof/>
                <w:webHidden/>
              </w:rPr>
              <w:fldChar w:fldCharType="separate"/>
            </w:r>
            <w:r w:rsidR="008B29E5">
              <w:rPr>
                <w:noProof/>
                <w:webHidden/>
              </w:rPr>
              <w:t>9</w:t>
            </w:r>
            <w:r w:rsidR="008B29E5">
              <w:rPr>
                <w:noProof/>
                <w:webHidden/>
              </w:rPr>
              <w:fldChar w:fldCharType="end"/>
            </w:r>
          </w:hyperlink>
        </w:p>
        <w:p w14:paraId="4AC24199" w14:textId="2FB5338B" w:rsidR="008B29E5" w:rsidRDefault="000000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56" w:history="1">
            <w:r w:rsidR="008B29E5" w:rsidRPr="00DA2E49">
              <w:rPr>
                <w:rStyle w:val="Hyperlink"/>
                <w:rFonts w:ascii="Times New Roman" w:hAnsi="Times New Roman" w:cs="Times New Roman"/>
                <w:noProof/>
              </w:rPr>
              <w:t>6.1  Digital logistics adoption produces measurable gains</w:t>
            </w:r>
            <w:r w:rsidR="008B29E5">
              <w:rPr>
                <w:noProof/>
                <w:webHidden/>
              </w:rPr>
              <w:tab/>
            </w:r>
            <w:r w:rsidR="008B29E5">
              <w:rPr>
                <w:noProof/>
                <w:webHidden/>
              </w:rPr>
              <w:fldChar w:fldCharType="begin"/>
            </w:r>
            <w:r w:rsidR="008B29E5">
              <w:rPr>
                <w:noProof/>
                <w:webHidden/>
              </w:rPr>
              <w:instrText xml:space="preserve"> PAGEREF _Toc240747756 \h </w:instrText>
            </w:r>
            <w:r w:rsidR="008B29E5">
              <w:rPr>
                <w:noProof/>
                <w:webHidden/>
              </w:rPr>
            </w:r>
            <w:r w:rsidR="008B29E5">
              <w:rPr>
                <w:noProof/>
                <w:webHidden/>
              </w:rPr>
              <w:fldChar w:fldCharType="separate"/>
            </w:r>
            <w:r w:rsidR="008B29E5">
              <w:rPr>
                <w:noProof/>
                <w:webHidden/>
              </w:rPr>
              <w:t>9</w:t>
            </w:r>
            <w:r w:rsidR="008B29E5">
              <w:rPr>
                <w:noProof/>
                <w:webHidden/>
              </w:rPr>
              <w:fldChar w:fldCharType="end"/>
            </w:r>
          </w:hyperlink>
        </w:p>
        <w:p w14:paraId="195B54FD" w14:textId="07F1D0B1" w:rsidR="008B29E5" w:rsidRDefault="000000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57" w:history="1">
            <w:r w:rsidR="008B29E5" w:rsidRPr="00DA2E49">
              <w:rPr>
                <w:rStyle w:val="Hyperlink"/>
                <w:rFonts w:ascii="Times New Roman" w:hAnsi="Times New Roman" w:cs="Times New Roman"/>
                <w:noProof/>
              </w:rPr>
              <w:t>6.2  Fleet telematics is associated with better transporter performance</w:t>
            </w:r>
            <w:r w:rsidR="008B29E5">
              <w:rPr>
                <w:noProof/>
                <w:webHidden/>
              </w:rPr>
              <w:tab/>
            </w:r>
            <w:r w:rsidR="008B29E5">
              <w:rPr>
                <w:noProof/>
                <w:webHidden/>
              </w:rPr>
              <w:fldChar w:fldCharType="begin"/>
            </w:r>
            <w:r w:rsidR="008B29E5">
              <w:rPr>
                <w:noProof/>
                <w:webHidden/>
              </w:rPr>
              <w:instrText xml:space="preserve"> PAGEREF _Toc240747757 \h </w:instrText>
            </w:r>
            <w:r w:rsidR="008B29E5">
              <w:rPr>
                <w:noProof/>
                <w:webHidden/>
              </w:rPr>
            </w:r>
            <w:r w:rsidR="008B29E5">
              <w:rPr>
                <w:noProof/>
                <w:webHidden/>
              </w:rPr>
              <w:fldChar w:fldCharType="separate"/>
            </w:r>
            <w:r w:rsidR="008B29E5">
              <w:rPr>
                <w:noProof/>
                <w:webHidden/>
              </w:rPr>
              <w:t>9</w:t>
            </w:r>
            <w:r w:rsidR="008B29E5">
              <w:rPr>
                <w:noProof/>
                <w:webHidden/>
              </w:rPr>
              <w:fldChar w:fldCharType="end"/>
            </w:r>
          </w:hyperlink>
        </w:p>
        <w:p w14:paraId="5FD82F8C" w14:textId="3011D28D" w:rsidR="008B29E5" w:rsidRDefault="000000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58" w:history="1">
            <w:r w:rsidR="008B29E5" w:rsidRPr="00DA2E49">
              <w:rPr>
                <w:rStyle w:val="Hyperlink"/>
                <w:rFonts w:ascii="Times New Roman" w:hAnsi="Times New Roman" w:cs="Times New Roman"/>
                <w:noProof/>
              </w:rPr>
              <w:t>6.3  Manual and hybrid workflows remain common</w:t>
            </w:r>
            <w:r w:rsidR="008B29E5">
              <w:rPr>
                <w:noProof/>
                <w:webHidden/>
              </w:rPr>
              <w:tab/>
            </w:r>
            <w:r w:rsidR="008B29E5">
              <w:rPr>
                <w:noProof/>
                <w:webHidden/>
              </w:rPr>
              <w:fldChar w:fldCharType="begin"/>
            </w:r>
            <w:r w:rsidR="008B29E5">
              <w:rPr>
                <w:noProof/>
                <w:webHidden/>
              </w:rPr>
              <w:instrText xml:space="preserve"> PAGEREF _Toc240747758 \h </w:instrText>
            </w:r>
            <w:r w:rsidR="008B29E5">
              <w:rPr>
                <w:noProof/>
                <w:webHidden/>
              </w:rPr>
            </w:r>
            <w:r w:rsidR="008B29E5">
              <w:rPr>
                <w:noProof/>
                <w:webHidden/>
              </w:rPr>
              <w:fldChar w:fldCharType="separate"/>
            </w:r>
            <w:r w:rsidR="008B29E5">
              <w:rPr>
                <w:noProof/>
                <w:webHidden/>
              </w:rPr>
              <w:t>9</w:t>
            </w:r>
            <w:r w:rsidR="008B29E5">
              <w:rPr>
                <w:noProof/>
                <w:webHidden/>
              </w:rPr>
              <w:fldChar w:fldCharType="end"/>
            </w:r>
          </w:hyperlink>
        </w:p>
        <w:p w14:paraId="03A4EC33" w14:textId="7CAEAC92"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59" w:history="1">
            <w:r w:rsidR="008B29E5" w:rsidRPr="00DA2E49">
              <w:rPr>
                <w:rStyle w:val="Hyperlink"/>
                <w:rFonts w:ascii="Times New Roman" w:hAnsi="Times New Roman" w:cs="Times New Roman"/>
                <w:noProof/>
              </w:rPr>
              <w:t>7.  What the Evidence Says a Solution Must Do</w:t>
            </w:r>
            <w:r w:rsidR="008B29E5">
              <w:rPr>
                <w:noProof/>
                <w:webHidden/>
              </w:rPr>
              <w:tab/>
            </w:r>
            <w:r w:rsidR="008B29E5">
              <w:rPr>
                <w:noProof/>
                <w:webHidden/>
              </w:rPr>
              <w:fldChar w:fldCharType="begin"/>
            </w:r>
            <w:r w:rsidR="008B29E5">
              <w:rPr>
                <w:noProof/>
                <w:webHidden/>
              </w:rPr>
              <w:instrText xml:space="preserve"> PAGEREF _Toc240747759 \h </w:instrText>
            </w:r>
            <w:r w:rsidR="008B29E5">
              <w:rPr>
                <w:noProof/>
                <w:webHidden/>
              </w:rPr>
            </w:r>
            <w:r w:rsidR="008B29E5">
              <w:rPr>
                <w:noProof/>
                <w:webHidden/>
              </w:rPr>
              <w:fldChar w:fldCharType="separate"/>
            </w:r>
            <w:r w:rsidR="008B29E5">
              <w:rPr>
                <w:noProof/>
                <w:webHidden/>
              </w:rPr>
              <w:t>11</w:t>
            </w:r>
            <w:r w:rsidR="008B29E5">
              <w:rPr>
                <w:noProof/>
                <w:webHidden/>
              </w:rPr>
              <w:fldChar w:fldCharType="end"/>
            </w:r>
          </w:hyperlink>
        </w:p>
        <w:p w14:paraId="690607F0" w14:textId="071A8214"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60" w:history="1">
            <w:r w:rsidR="008B29E5" w:rsidRPr="00DA2E49">
              <w:rPr>
                <w:rStyle w:val="Hyperlink"/>
                <w:rFonts w:ascii="Times New Roman" w:hAnsi="Times New Roman" w:cs="Times New Roman"/>
                <w:noProof/>
              </w:rPr>
              <w:t>8.  Constraints, Adoption Risk and Governance</w:t>
            </w:r>
            <w:r w:rsidR="008B29E5">
              <w:rPr>
                <w:noProof/>
                <w:webHidden/>
              </w:rPr>
              <w:tab/>
            </w:r>
            <w:r w:rsidR="008B29E5">
              <w:rPr>
                <w:noProof/>
                <w:webHidden/>
              </w:rPr>
              <w:fldChar w:fldCharType="begin"/>
            </w:r>
            <w:r w:rsidR="008B29E5">
              <w:rPr>
                <w:noProof/>
                <w:webHidden/>
              </w:rPr>
              <w:instrText xml:space="preserve"> PAGEREF _Toc240747760 \h </w:instrText>
            </w:r>
            <w:r w:rsidR="008B29E5">
              <w:rPr>
                <w:noProof/>
                <w:webHidden/>
              </w:rPr>
            </w:r>
            <w:r w:rsidR="008B29E5">
              <w:rPr>
                <w:noProof/>
                <w:webHidden/>
              </w:rPr>
              <w:fldChar w:fldCharType="separate"/>
            </w:r>
            <w:r w:rsidR="008B29E5">
              <w:rPr>
                <w:noProof/>
                <w:webHidden/>
              </w:rPr>
              <w:t>11</w:t>
            </w:r>
            <w:r w:rsidR="008B29E5">
              <w:rPr>
                <w:noProof/>
                <w:webHidden/>
              </w:rPr>
              <w:fldChar w:fldCharType="end"/>
            </w:r>
          </w:hyperlink>
        </w:p>
        <w:p w14:paraId="276B70DC" w14:textId="6C8BE74B"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61" w:history="1">
            <w:r w:rsidR="008B29E5" w:rsidRPr="00DA2E49">
              <w:rPr>
                <w:rStyle w:val="Hyperlink"/>
                <w:rFonts w:ascii="Times New Roman" w:hAnsi="Times New Roman" w:cs="Times New Roman"/>
                <w:noProof/>
              </w:rPr>
              <w:t>9.  Product Implications and Build Sequence</w:t>
            </w:r>
            <w:r w:rsidR="008B29E5">
              <w:rPr>
                <w:noProof/>
                <w:webHidden/>
              </w:rPr>
              <w:tab/>
            </w:r>
            <w:r w:rsidR="008B29E5">
              <w:rPr>
                <w:noProof/>
                <w:webHidden/>
              </w:rPr>
              <w:fldChar w:fldCharType="begin"/>
            </w:r>
            <w:r w:rsidR="008B29E5">
              <w:rPr>
                <w:noProof/>
                <w:webHidden/>
              </w:rPr>
              <w:instrText xml:space="preserve"> PAGEREF _Toc240747761 \h </w:instrText>
            </w:r>
            <w:r w:rsidR="008B29E5">
              <w:rPr>
                <w:noProof/>
                <w:webHidden/>
              </w:rPr>
            </w:r>
            <w:r w:rsidR="008B29E5">
              <w:rPr>
                <w:noProof/>
                <w:webHidden/>
              </w:rPr>
              <w:fldChar w:fldCharType="separate"/>
            </w:r>
            <w:r w:rsidR="008B29E5">
              <w:rPr>
                <w:noProof/>
                <w:webHidden/>
              </w:rPr>
              <w:t>13</w:t>
            </w:r>
            <w:r w:rsidR="008B29E5">
              <w:rPr>
                <w:noProof/>
                <w:webHidden/>
              </w:rPr>
              <w:fldChar w:fldCharType="end"/>
            </w:r>
          </w:hyperlink>
        </w:p>
        <w:p w14:paraId="5FD56643" w14:textId="2C34A95F"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62" w:history="1">
            <w:r w:rsidR="008B29E5" w:rsidRPr="00DA2E49">
              <w:rPr>
                <w:rStyle w:val="Hyperlink"/>
                <w:rFonts w:ascii="Times New Roman" w:hAnsi="Times New Roman" w:cs="Times New Roman"/>
                <w:noProof/>
              </w:rPr>
              <w:t>10.  Limitations of the Evidence Base</w:t>
            </w:r>
            <w:r w:rsidR="008B29E5">
              <w:rPr>
                <w:noProof/>
                <w:webHidden/>
              </w:rPr>
              <w:tab/>
            </w:r>
            <w:r w:rsidR="008B29E5">
              <w:rPr>
                <w:noProof/>
                <w:webHidden/>
              </w:rPr>
              <w:fldChar w:fldCharType="begin"/>
            </w:r>
            <w:r w:rsidR="008B29E5">
              <w:rPr>
                <w:noProof/>
                <w:webHidden/>
              </w:rPr>
              <w:instrText xml:space="preserve"> PAGEREF _Toc240747762 \h </w:instrText>
            </w:r>
            <w:r w:rsidR="008B29E5">
              <w:rPr>
                <w:noProof/>
                <w:webHidden/>
              </w:rPr>
            </w:r>
            <w:r w:rsidR="008B29E5">
              <w:rPr>
                <w:noProof/>
                <w:webHidden/>
              </w:rPr>
              <w:fldChar w:fldCharType="separate"/>
            </w:r>
            <w:r w:rsidR="008B29E5">
              <w:rPr>
                <w:noProof/>
                <w:webHidden/>
              </w:rPr>
              <w:t>13</w:t>
            </w:r>
            <w:r w:rsidR="008B29E5">
              <w:rPr>
                <w:noProof/>
                <w:webHidden/>
              </w:rPr>
              <w:fldChar w:fldCharType="end"/>
            </w:r>
          </w:hyperlink>
        </w:p>
        <w:p w14:paraId="18C0F6FA" w14:textId="630BFB7F"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63" w:history="1">
            <w:r w:rsidR="008B29E5" w:rsidRPr="00DA2E49">
              <w:rPr>
                <w:rStyle w:val="Hyperlink"/>
                <w:rFonts w:ascii="Times New Roman" w:hAnsi="Times New Roman" w:cs="Times New Roman"/>
                <w:noProof/>
              </w:rPr>
              <w:t>11.  Conclusion</w:t>
            </w:r>
            <w:r w:rsidR="008B29E5">
              <w:rPr>
                <w:noProof/>
                <w:webHidden/>
              </w:rPr>
              <w:tab/>
            </w:r>
            <w:r w:rsidR="008B29E5">
              <w:rPr>
                <w:noProof/>
                <w:webHidden/>
              </w:rPr>
              <w:fldChar w:fldCharType="begin"/>
            </w:r>
            <w:r w:rsidR="008B29E5">
              <w:rPr>
                <w:noProof/>
                <w:webHidden/>
              </w:rPr>
              <w:instrText xml:space="preserve"> PAGEREF _Toc240747763 \h </w:instrText>
            </w:r>
            <w:r w:rsidR="008B29E5">
              <w:rPr>
                <w:noProof/>
                <w:webHidden/>
              </w:rPr>
            </w:r>
            <w:r w:rsidR="008B29E5">
              <w:rPr>
                <w:noProof/>
                <w:webHidden/>
              </w:rPr>
              <w:fldChar w:fldCharType="separate"/>
            </w:r>
            <w:r w:rsidR="008B29E5">
              <w:rPr>
                <w:noProof/>
                <w:webHidden/>
              </w:rPr>
              <w:t>14</w:t>
            </w:r>
            <w:r w:rsidR="008B29E5">
              <w:rPr>
                <w:noProof/>
                <w:webHidden/>
              </w:rPr>
              <w:fldChar w:fldCharType="end"/>
            </w:r>
          </w:hyperlink>
        </w:p>
        <w:p w14:paraId="3DCF981B" w14:textId="68975CF8"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64" w:history="1">
            <w:r w:rsidR="008B29E5" w:rsidRPr="00DA2E49">
              <w:rPr>
                <w:rStyle w:val="Hyperlink"/>
                <w:rFonts w:ascii="Times New Roman" w:hAnsi="Times New Roman" w:cs="Times New Roman"/>
                <w:noProof/>
              </w:rPr>
              <w:t>References</w:t>
            </w:r>
            <w:r w:rsidR="008B29E5">
              <w:rPr>
                <w:noProof/>
                <w:webHidden/>
              </w:rPr>
              <w:tab/>
            </w:r>
            <w:r w:rsidR="008B29E5">
              <w:rPr>
                <w:noProof/>
                <w:webHidden/>
              </w:rPr>
              <w:fldChar w:fldCharType="begin"/>
            </w:r>
            <w:r w:rsidR="008B29E5">
              <w:rPr>
                <w:noProof/>
                <w:webHidden/>
              </w:rPr>
              <w:instrText xml:space="preserve"> PAGEREF _Toc240747764 \h </w:instrText>
            </w:r>
            <w:r w:rsidR="008B29E5">
              <w:rPr>
                <w:noProof/>
                <w:webHidden/>
              </w:rPr>
            </w:r>
            <w:r w:rsidR="008B29E5">
              <w:rPr>
                <w:noProof/>
                <w:webHidden/>
              </w:rPr>
              <w:fldChar w:fldCharType="separate"/>
            </w:r>
            <w:r w:rsidR="008B29E5">
              <w:rPr>
                <w:noProof/>
                <w:webHidden/>
              </w:rPr>
              <w:t>15</w:t>
            </w:r>
            <w:r w:rsidR="008B29E5">
              <w:rPr>
                <w:noProof/>
                <w:webHidden/>
              </w:rPr>
              <w:fldChar w:fldCharType="end"/>
            </w:r>
          </w:hyperlink>
        </w:p>
        <w:p w14:paraId="600B21FE" w14:textId="6113C67B"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65" w:history="1">
            <w:r w:rsidR="008B29E5" w:rsidRPr="00DA2E49">
              <w:rPr>
                <w:rStyle w:val="Hyperlink"/>
                <w:rFonts w:ascii="Times New Roman" w:hAnsi="Times New Roman" w:cs="Times New Roman"/>
                <w:noProof/>
              </w:rPr>
              <w:t>Appendix A - Quantified Findings Register</w:t>
            </w:r>
            <w:r w:rsidR="008B29E5">
              <w:rPr>
                <w:noProof/>
                <w:webHidden/>
              </w:rPr>
              <w:tab/>
            </w:r>
            <w:r w:rsidR="008B29E5">
              <w:rPr>
                <w:noProof/>
                <w:webHidden/>
              </w:rPr>
              <w:fldChar w:fldCharType="begin"/>
            </w:r>
            <w:r w:rsidR="008B29E5">
              <w:rPr>
                <w:noProof/>
                <w:webHidden/>
              </w:rPr>
              <w:instrText xml:space="preserve"> PAGEREF _Toc240747765 \h </w:instrText>
            </w:r>
            <w:r w:rsidR="008B29E5">
              <w:rPr>
                <w:noProof/>
                <w:webHidden/>
              </w:rPr>
            </w:r>
            <w:r w:rsidR="008B29E5">
              <w:rPr>
                <w:noProof/>
                <w:webHidden/>
              </w:rPr>
              <w:fldChar w:fldCharType="separate"/>
            </w:r>
            <w:r w:rsidR="008B29E5">
              <w:rPr>
                <w:noProof/>
                <w:webHidden/>
              </w:rPr>
              <w:t>17</w:t>
            </w:r>
            <w:r w:rsidR="008B29E5">
              <w:rPr>
                <w:noProof/>
                <w:webHidden/>
              </w:rPr>
              <w:fldChar w:fldCharType="end"/>
            </w:r>
          </w:hyperlink>
        </w:p>
        <w:p w14:paraId="2623F37A" w14:textId="2AF1EAA0" w:rsidR="008B29E5"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747766" w:history="1">
            <w:r w:rsidR="008B29E5" w:rsidRPr="00DA2E49">
              <w:rPr>
                <w:rStyle w:val="Hyperlink"/>
                <w:rFonts w:ascii="Times New Roman" w:hAnsi="Times New Roman" w:cs="Times New Roman"/>
                <w:noProof/>
              </w:rPr>
              <w:t>Appendix B - Evidence Strength by Claim</w:t>
            </w:r>
            <w:r w:rsidR="008B29E5">
              <w:rPr>
                <w:noProof/>
                <w:webHidden/>
              </w:rPr>
              <w:tab/>
            </w:r>
            <w:r w:rsidR="008B29E5">
              <w:rPr>
                <w:noProof/>
                <w:webHidden/>
              </w:rPr>
              <w:fldChar w:fldCharType="begin"/>
            </w:r>
            <w:r w:rsidR="008B29E5">
              <w:rPr>
                <w:noProof/>
                <w:webHidden/>
              </w:rPr>
              <w:instrText xml:space="preserve"> PAGEREF _Toc240747766 \h </w:instrText>
            </w:r>
            <w:r w:rsidR="008B29E5">
              <w:rPr>
                <w:noProof/>
                <w:webHidden/>
              </w:rPr>
            </w:r>
            <w:r w:rsidR="008B29E5">
              <w:rPr>
                <w:noProof/>
                <w:webHidden/>
              </w:rPr>
              <w:fldChar w:fldCharType="separate"/>
            </w:r>
            <w:r w:rsidR="008B29E5">
              <w:rPr>
                <w:noProof/>
                <w:webHidden/>
              </w:rPr>
              <w:t>17</w:t>
            </w:r>
            <w:r w:rsidR="008B29E5">
              <w:rPr>
                <w:noProof/>
                <w:webHidden/>
              </w:rPr>
              <w:fldChar w:fldCharType="end"/>
            </w:r>
          </w:hyperlink>
        </w:p>
        <w:p w14:paraId="2F42B09A" w14:textId="4C405FDE" w:rsidR="001102EB" w:rsidRPr="001102EB" w:rsidRDefault="001102EB">
          <w:pPr>
            <w:rPr>
              <w:rFonts w:ascii="Times New Roman" w:hAnsi="Times New Roman" w:cs="Times New Roman"/>
              <w:sz w:val="22"/>
              <w:szCs w:val="22"/>
            </w:rPr>
          </w:pPr>
          <w:r w:rsidRPr="001102EB">
            <w:rPr>
              <w:rFonts w:ascii="Times New Roman" w:hAnsi="Times New Roman" w:cs="Times New Roman"/>
              <w:b/>
              <w:bCs/>
              <w:noProof/>
              <w:sz w:val="22"/>
              <w:szCs w:val="22"/>
            </w:rPr>
            <w:fldChar w:fldCharType="end"/>
          </w:r>
        </w:p>
      </w:sdtContent>
    </w:sdt>
    <w:p w14:paraId="302590E0" w14:textId="77777777" w:rsidR="00121769" w:rsidRPr="001102EB" w:rsidRDefault="00000000">
      <w:pPr>
        <w:rPr>
          <w:rFonts w:ascii="Times New Roman" w:hAnsi="Times New Roman" w:cs="Times New Roman"/>
          <w:sz w:val="22"/>
          <w:szCs w:val="22"/>
        </w:rPr>
      </w:pPr>
      <w:r w:rsidRPr="001102EB">
        <w:rPr>
          <w:rFonts w:ascii="Times New Roman" w:hAnsi="Times New Roman" w:cs="Times New Roman"/>
          <w:sz w:val="22"/>
          <w:szCs w:val="22"/>
        </w:rPr>
        <w:br w:type="page"/>
      </w:r>
    </w:p>
    <w:p w14:paraId="2C33B838" w14:textId="77777777" w:rsidR="00121769" w:rsidRPr="001102EB" w:rsidRDefault="00000000">
      <w:pPr>
        <w:pStyle w:val="Heading1"/>
        <w:rPr>
          <w:rFonts w:ascii="Times New Roman" w:hAnsi="Times New Roman" w:cs="Times New Roman"/>
          <w:sz w:val="22"/>
          <w:szCs w:val="22"/>
        </w:rPr>
      </w:pPr>
      <w:bookmarkStart w:id="0" w:name="_Toc240747742"/>
      <w:r w:rsidRPr="001102EB">
        <w:rPr>
          <w:rFonts w:ascii="Times New Roman" w:hAnsi="Times New Roman" w:cs="Times New Roman"/>
          <w:sz w:val="22"/>
          <w:szCs w:val="22"/>
        </w:rPr>
        <w:lastRenderedPageBreak/>
        <w:t>1.  Executive Summary</w:t>
      </w:r>
      <w:bookmarkEnd w:id="0"/>
    </w:p>
    <w:p w14:paraId="572F03D3"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Turnaround is well grounded in the literature as a platform for making East African corridor delays </w:t>
      </w:r>
      <w:r w:rsidRPr="001102EB">
        <w:rPr>
          <w:rFonts w:ascii="Times New Roman" w:hAnsi="Times New Roman" w:cs="Times New Roman"/>
          <w:b/>
          <w:bCs/>
          <w:sz w:val="22"/>
          <w:szCs w:val="22"/>
        </w:rPr>
        <w:t>visible, attributable, and financially actionable</w:t>
      </w:r>
      <w:r w:rsidRPr="001102EB">
        <w:rPr>
          <w:rFonts w:ascii="Times New Roman" w:hAnsi="Times New Roman" w:cs="Times New Roman"/>
          <w:sz w:val="22"/>
          <w:szCs w:val="22"/>
        </w:rPr>
        <w:t>. Across twenty-seven studies covering Kenyan and Tanzanian corridor nodes and comparative Sub-Saharan evidence, three linked claims are consistently supported: corridor delays and delay variability are economically important; telematics and digital coordination can measurably reduce those delays; and the principal execution risk is fragmented governance and weak interoperability rather than any limitation of the sensing technology itself.</w:t>
      </w:r>
    </w:p>
    <w:p w14:paraId="41B29A6E"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The literature does not frame the core problem as </w:t>
      </w:r>
      <w:r w:rsidRPr="001102EB">
        <w:rPr>
          <w:rFonts w:ascii="Times New Roman" w:hAnsi="Times New Roman" w:cs="Times New Roman"/>
          <w:i/>
          <w:iCs/>
          <w:sz w:val="22"/>
          <w:szCs w:val="22"/>
        </w:rPr>
        <w:t>“not enough tracking”</w:t>
      </w:r>
      <w:r w:rsidRPr="001102EB">
        <w:rPr>
          <w:rFonts w:ascii="Times New Roman" w:hAnsi="Times New Roman" w:cs="Times New Roman"/>
          <w:sz w:val="22"/>
          <w:szCs w:val="22"/>
        </w:rPr>
        <w:t>. It describes a deeper gap. Delays across ports, borders, inland container depots (ICDs), weighbridges and road links remain high, variable and costly, while existing digital systems generally fail to measure, attribute and economically translate those delays in a way that supports coordinated action (Raphael, 2025; Hoffman et al., 2023). The unmet need is therefore an integrated operational intelligence layer, not an additional point tool.</w:t>
      </w:r>
    </w:p>
    <w:p w14:paraId="7BDB538F" w14:textId="77777777" w:rsidR="00121769" w:rsidRPr="001102EB" w:rsidRDefault="00121769">
      <w:pPr>
        <w:spacing w:after="60"/>
        <w:rPr>
          <w:rFonts w:ascii="Times New Roman" w:hAnsi="Times New Roman" w:cs="Times New Roman"/>
          <w:sz w:val="22"/>
          <w:szCs w:val="22"/>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121769" w:rsidRPr="001102EB" w14:paraId="6154DA4F" w14:textId="77777777">
        <w:tc>
          <w:tcPr>
            <w:tcW w:w="9020" w:type="dxa"/>
            <w:tcBorders>
              <w:top w:val="none" w:sz="0" w:space="0" w:color="FFFFFF"/>
              <w:left w:val="single" w:sz="18" w:space="0" w:color="117A65"/>
              <w:bottom w:val="none" w:sz="0" w:space="0" w:color="FFFFFF"/>
              <w:right w:val="none" w:sz="0" w:space="0" w:color="FFFFFF"/>
            </w:tcBorders>
            <w:shd w:val="clear" w:color="auto" w:fill="EDF4F5"/>
            <w:tcMar>
              <w:top w:w="200" w:type="dxa"/>
              <w:left w:w="240" w:type="dxa"/>
              <w:bottom w:w="200" w:type="dxa"/>
              <w:right w:w="240" w:type="dxa"/>
            </w:tcMar>
          </w:tcPr>
          <w:p w14:paraId="2821A0D8" w14:textId="77777777" w:rsidR="00121769" w:rsidRPr="001102EB" w:rsidRDefault="00000000">
            <w:pPr>
              <w:spacing w:after="90"/>
              <w:rPr>
                <w:rFonts w:ascii="Times New Roman" w:hAnsi="Times New Roman" w:cs="Times New Roman"/>
                <w:sz w:val="22"/>
                <w:szCs w:val="22"/>
              </w:rPr>
            </w:pPr>
            <w:r w:rsidRPr="001102EB">
              <w:rPr>
                <w:rFonts w:ascii="Times New Roman" w:eastAsia="Cambria" w:hAnsi="Times New Roman" w:cs="Times New Roman"/>
                <w:b/>
                <w:bCs/>
                <w:color w:val="0B3C49"/>
                <w:sz w:val="22"/>
                <w:szCs w:val="22"/>
              </w:rPr>
              <w:t>Central finding</w:t>
            </w:r>
          </w:p>
          <w:p w14:paraId="2D2436BE" w14:textId="6F624ACF" w:rsidR="00121769" w:rsidRPr="001102EB" w:rsidRDefault="00000000">
            <w:pPr>
              <w:spacing w:line="276" w:lineRule="auto"/>
              <w:jc w:val="both"/>
              <w:rPr>
                <w:rFonts w:ascii="Times New Roman" w:hAnsi="Times New Roman" w:cs="Times New Roman"/>
                <w:sz w:val="22"/>
                <w:szCs w:val="22"/>
              </w:rPr>
            </w:pPr>
            <w:r w:rsidRPr="001102EB">
              <w:rPr>
                <w:rFonts w:ascii="Times New Roman" w:hAnsi="Times New Roman" w:cs="Times New Roman"/>
                <w:sz w:val="22"/>
                <w:szCs w:val="22"/>
              </w:rPr>
              <w:t xml:space="preserve">East African corridor logistics lack reliable, shared, economic-grade delay intelligence. The research supports building Turnaround first as a trusted delay-visibility and cost-intelligence platform </w:t>
            </w:r>
            <w:r w:rsidR="00975934">
              <w:rPr>
                <w:rFonts w:ascii="Times New Roman" w:hAnsi="Times New Roman" w:cs="Times New Roman"/>
                <w:sz w:val="22"/>
                <w:szCs w:val="22"/>
              </w:rPr>
              <w:t>-</w:t>
            </w:r>
            <w:r w:rsidRPr="001102EB">
              <w:rPr>
                <w:rFonts w:ascii="Times New Roman" w:hAnsi="Times New Roman" w:cs="Times New Roman"/>
                <w:sz w:val="22"/>
                <w:szCs w:val="22"/>
              </w:rPr>
              <w:t xml:space="preserve"> high-confidence event capture, node-level attribution, and delay-to-cost translation with predictive analytics added only after multi-party data reliability and interoperability are established.</w:t>
            </w:r>
          </w:p>
        </w:tc>
      </w:tr>
    </w:tbl>
    <w:p w14:paraId="0F47E6E3" w14:textId="77777777" w:rsidR="00121769" w:rsidRPr="001102EB" w:rsidRDefault="00121769">
      <w:pPr>
        <w:spacing w:after="200"/>
        <w:rPr>
          <w:rFonts w:ascii="Times New Roman" w:hAnsi="Times New Roman" w:cs="Times New Roman"/>
          <w:sz w:val="22"/>
          <w:szCs w:val="22"/>
        </w:rPr>
      </w:pPr>
    </w:p>
    <w:p w14:paraId="5471524E"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Module-level validation is strong for geofenced tracking, dwell detection, delay-to-cost translation and shared dashboards, and moderate for predictive analytics, where the evidence is less corridor-specific (</w:t>
      </w:r>
      <w:proofErr w:type="spellStart"/>
      <w:r w:rsidRPr="001102EB">
        <w:rPr>
          <w:rFonts w:ascii="Times New Roman" w:hAnsi="Times New Roman" w:cs="Times New Roman"/>
          <w:sz w:val="22"/>
          <w:szCs w:val="22"/>
        </w:rPr>
        <w:t>Kunambi</w:t>
      </w:r>
      <w:proofErr w:type="spellEnd"/>
      <w:r w:rsidRPr="001102EB">
        <w:rPr>
          <w:rFonts w:ascii="Times New Roman" w:hAnsi="Times New Roman" w:cs="Times New Roman"/>
          <w:sz w:val="22"/>
          <w:szCs w:val="22"/>
        </w:rPr>
        <w:t xml:space="preserve"> &amp; Zheng, 2025; </w:t>
      </w:r>
      <w:proofErr w:type="spellStart"/>
      <w:r w:rsidRPr="001102EB">
        <w:rPr>
          <w:rFonts w:ascii="Times New Roman" w:hAnsi="Times New Roman" w:cs="Times New Roman"/>
          <w:sz w:val="22"/>
          <w:szCs w:val="22"/>
        </w:rPr>
        <w:t>Heinbach</w:t>
      </w:r>
      <w:proofErr w:type="spellEnd"/>
      <w:r w:rsidRPr="001102EB">
        <w:rPr>
          <w:rFonts w:ascii="Times New Roman" w:hAnsi="Times New Roman" w:cs="Times New Roman"/>
          <w:sz w:val="22"/>
          <w:szCs w:val="22"/>
        </w:rPr>
        <w:t xml:space="preserve"> et al., 2022). Quantified outcomes reported in the literature include </w:t>
      </w:r>
      <w:r w:rsidRPr="001102EB">
        <w:rPr>
          <w:rFonts w:ascii="Times New Roman" w:hAnsi="Times New Roman" w:cs="Times New Roman"/>
          <w:b/>
          <w:bCs/>
          <w:sz w:val="22"/>
          <w:szCs w:val="22"/>
        </w:rPr>
        <w:t>4.12 fewer customs hours, 1.25 fewer port dwell days and 3.15 fewer transit days</w:t>
      </w:r>
      <w:r w:rsidRPr="001102EB">
        <w:rPr>
          <w:rFonts w:ascii="Times New Roman" w:hAnsi="Times New Roman" w:cs="Times New Roman"/>
          <w:sz w:val="22"/>
          <w:szCs w:val="22"/>
        </w:rPr>
        <w:t xml:space="preserve"> where digital logistics systems are reliably used (Raphael, 2025), and a delay-variability contribution of up to </w:t>
      </w:r>
      <w:r w:rsidRPr="001102EB">
        <w:rPr>
          <w:rFonts w:ascii="Times New Roman" w:hAnsi="Times New Roman" w:cs="Times New Roman"/>
          <w:b/>
          <w:bCs/>
          <w:sz w:val="22"/>
          <w:szCs w:val="22"/>
        </w:rPr>
        <w:t>80% of total corridor cost</w:t>
      </w:r>
      <w:r w:rsidRPr="001102EB">
        <w:rPr>
          <w:rFonts w:ascii="Times New Roman" w:hAnsi="Times New Roman" w:cs="Times New Roman"/>
          <w:sz w:val="22"/>
          <w:szCs w:val="22"/>
        </w:rPr>
        <w:t xml:space="preserve"> in ineffective corridors (Hoffman et al., 2023).</w:t>
      </w:r>
    </w:p>
    <w:p w14:paraId="27AB3020" w14:textId="77777777" w:rsidR="00373663" w:rsidRDefault="00373663">
      <w:pPr>
        <w:pStyle w:val="Heading1"/>
        <w:rPr>
          <w:rFonts w:ascii="Times New Roman" w:hAnsi="Times New Roman" w:cs="Times New Roman"/>
          <w:sz w:val="22"/>
          <w:szCs w:val="22"/>
        </w:rPr>
      </w:pPr>
      <w:bookmarkStart w:id="1" w:name="_Toc240747743"/>
    </w:p>
    <w:p w14:paraId="6493E248" w14:textId="77777777" w:rsidR="00373663" w:rsidRDefault="00373663">
      <w:pPr>
        <w:pStyle w:val="Heading1"/>
        <w:rPr>
          <w:rFonts w:ascii="Times New Roman" w:hAnsi="Times New Roman" w:cs="Times New Roman"/>
          <w:sz w:val="22"/>
          <w:szCs w:val="22"/>
        </w:rPr>
      </w:pPr>
    </w:p>
    <w:p w14:paraId="3E27754D" w14:textId="77777777" w:rsidR="00373663" w:rsidRDefault="00373663">
      <w:pPr>
        <w:pStyle w:val="Heading1"/>
        <w:rPr>
          <w:rFonts w:ascii="Times New Roman" w:hAnsi="Times New Roman" w:cs="Times New Roman"/>
          <w:sz w:val="22"/>
          <w:szCs w:val="22"/>
        </w:rPr>
      </w:pPr>
    </w:p>
    <w:p w14:paraId="4BEA87AA" w14:textId="77777777" w:rsidR="00373663" w:rsidRDefault="00373663">
      <w:pPr>
        <w:pStyle w:val="Heading1"/>
        <w:rPr>
          <w:rFonts w:ascii="Times New Roman" w:hAnsi="Times New Roman" w:cs="Times New Roman"/>
          <w:sz w:val="22"/>
          <w:szCs w:val="22"/>
        </w:rPr>
      </w:pPr>
    </w:p>
    <w:p w14:paraId="226A62AB" w14:textId="77777777" w:rsidR="00373663" w:rsidRDefault="00373663">
      <w:pPr>
        <w:pStyle w:val="Heading1"/>
        <w:rPr>
          <w:rFonts w:ascii="Times New Roman" w:hAnsi="Times New Roman" w:cs="Times New Roman"/>
          <w:sz w:val="22"/>
          <w:szCs w:val="22"/>
        </w:rPr>
      </w:pPr>
    </w:p>
    <w:p w14:paraId="5B1CA062" w14:textId="77777777" w:rsidR="00373663" w:rsidRDefault="00373663">
      <w:pPr>
        <w:pStyle w:val="Heading1"/>
        <w:rPr>
          <w:rFonts w:ascii="Times New Roman" w:hAnsi="Times New Roman" w:cs="Times New Roman"/>
          <w:sz w:val="22"/>
          <w:szCs w:val="22"/>
        </w:rPr>
      </w:pPr>
    </w:p>
    <w:p w14:paraId="1A6F4AE3" w14:textId="66580DF7" w:rsidR="00121769" w:rsidRPr="001102EB" w:rsidRDefault="00000000">
      <w:pPr>
        <w:pStyle w:val="Heading1"/>
        <w:rPr>
          <w:rFonts w:ascii="Times New Roman" w:hAnsi="Times New Roman" w:cs="Times New Roman"/>
          <w:sz w:val="22"/>
          <w:szCs w:val="22"/>
        </w:rPr>
      </w:pPr>
      <w:r w:rsidRPr="001102EB">
        <w:rPr>
          <w:rFonts w:ascii="Times New Roman" w:hAnsi="Times New Roman" w:cs="Times New Roman"/>
          <w:sz w:val="22"/>
          <w:szCs w:val="22"/>
        </w:rPr>
        <w:lastRenderedPageBreak/>
        <w:t>2.  Introduction, Scope and Method</w:t>
      </w:r>
      <w:bookmarkEnd w:id="1"/>
    </w:p>
    <w:p w14:paraId="3A98A40E" w14:textId="28DCE0A9" w:rsidR="00121769" w:rsidRPr="001102EB" w:rsidRDefault="00000000">
      <w:pPr>
        <w:pStyle w:val="Heading2"/>
        <w:rPr>
          <w:rFonts w:ascii="Times New Roman" w:hAnsi="Times New Roman" w:cs="Times New Roman"/>
          <w:sz w:val="22"/>
          <w:szCs w:val="22"/>
        </w:rPr>
      </w:pPr>
      <w:bookmarkStart w:id="2" w:name="_Toc240747744"/>
      <w:r w:rsidRPr="001102EB">
        <w:rPr>
          <w:rFonts w:ascii="Times New Roman" w:hAnsi="Times New Roman" w:cs="Times New Roman"/>
          <w:sz w:val="22"/>
          <w:szCs w:val="22"/>
        </w:rPr>
        <w:t>2.1 Background</w:t>
      </w:r>
      <w:bookmarkEnd w:id="2"/>
    </w:p>
    <w:p w14:paraId="0CDA92C4"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East African and wider Sub-Saharan corridors carry high time, cost and uncertainty burdens, and these burdens fall most heavily on landlocked trade (Christ &amp; </w:t>
      </w:r>
      <w:proofErr w:type="spellStart"/>
      <w:r w:rsidRPr="001102EB">
        <w:rPr>
          <w:rFonts w:ascii="Times New Roman" w:hAnsi="Times New Roman" w:cs="Times New Roman"/>
          <w:sz w:val="22"/>
          <w:szCs w:val="22"/>
        </w:rPr>
        <w:t>Ferrantino</w:t>
      </w:r>
      <w:proofErr w:type="spellEnd"/>
      <w:r w:rsidRPr="001102EB">
        <w:rPr>
          <w:rFonts w:ascii="Times New Roman" w:hAnsi="Times New Roman" w:cs="Times New Roman"/>
          <w:sz w:val="22"/>
          <w:szCs w:val="22"/>
        </w:rPr>
        <w:t xml:space="preserve">, 2011; </w:t>
      </w:r>
      <w:proofErr w:type="spellStart"/>
      <w:r w:rsidRPr="001102EB">
        <w:rPr>
          <w:rFonts w:ascii="Times New Roman" w:hAnsi="Times New Roman" w:cs="Times New Roman"/>
          <w:sz w:val="22"/>
          <w:szCs w:val="22"/>
        </w:rPr>
        <w:t>Kuteyi</w:t>
      </w:r>
      <w:proofErr w:type="spellEnd"/>
      <w:r w:rsidRPr="001102EB">
        <w:rPr>
          <w:rFonts w:ascii="Times New Roman" w:hAnsi="Times New Roman" w:cs="Times New Roman"/>
          <w:sz w:val="22"/>
          <w:szCs w:val="22"/>
        </w:rPr>
        <w:t xml:space="preserve"> &amp; Winkler, 2022). Delay variability is itself a major economic cost, because corridor users bear inventory, stockholding and late-delivery losses in addition to transport charges (Hoffman et al., 2023). Corridor competitiveness therefore depends not only on average transport time, but on how predictably ports, borders and roads perform (Hoffman et al., 2023; Christ &amp; </w:t>
      </w:r>
      <w:proofErr w:type="spellStart"/>
      <w:r w:rsidRPr="001102EB">
        <w:rPr>
          <w:rFonts w:ascii="Times New Roman" w:hAnsi="Times New Roman" w:cs="Times New Roman"/>
          <w:sz w:val="22"/>
          <w:szCs w:val="22"/>
        </w:rPr>
        <w:t>Ferrantino</w:t>
      </w:r>
      <w:proofErr w:type="spellEnd"/>
      <w:r w:rsidRPr="001102EB">
        <w:rPr>
          <w:rFonts w:ascii="Times New Roman" w:hAnsi="Times New Roman" w:cs="Times New Roman"/>
          <w:sz w:val="22"/>
          <w:szCs w:val="22"/>
        </w:rPr>
        <w:t>, 2011).</w:t>
      </w:r>
    </w:p>
    <w:p w14:paraId="383D2F56" w14:textId="4EB888FE"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Turnaround is positioned as an operational intelligence platform for commercial fleet and corridor logistics. It combines geofenced facility detection, an arrival–dwell–departure event lifecycle, delay-to-cost translation, a shared corridor dashboard, and </w:t>
      </w:r>
      <w:r w:rsidR="001102EB">
        <w:rPr>
          <w:rFonts w:ascii="Times New Roman" w:hAnsi="Times New Roman" w:cs="Times New Roman"/>
          <w:sz w:val="22"/>
          <w:szCs w:val="22"/>
        </w:rPr>
        <w:t xml:space="preserve">- </w:t>
      </w:r>
      <w:r w:rsidRPr="001102EB">
        <w:rPr>
          <w:rFonts w:ascii="Times New Roman" w:hAnsi="Times New Roman" w:cs="Times New Roman"/>
          <w:sz w:val="22"/>
          <w:szCs w:val="22"/>
        </w:rPr>
        <w:t xml:space="preserve">in later phases </w:t>
      </w:r>
      <w:r w:rsidR="001102EB">
        <w:rPr>
          <w:rFonts w:ascii="Times New Roman" w:hAnsi="Times New Roman" w:cs="Times New Roman"/>
          <w:sz w:val="22"/>
          <w:szCs w:val="22"/>
        </w:rPr>
        <w:t>-</w:t>
      </w:r>
      <w:r w:rsidRPr="001102EB">
        <w:rPr>
          <w:rFonts w:ascii="Times New Roman" w:hAnsi="Times New Roman" w:cs="Times New Roman"/>
          <w:sz w:val="22"/>
          <w:szCs w:val="22"/>
        </w:rPr>
        <w:t xml:space="preserve"> predictive delay analytics. This document tests that concept against the published evidence rather than against market assumption.</w:t>
      </w:r>
    </w:p>
    <w:p w14:paraId="1E4DD0AF" w14:textId="0EF8AFD0" w:rsidR="00121769" w:rsidRPr="001102EB" w:rsidRDefault="00000000">
      <w:pPr>
        <w:pStyle w:val="Heading2"/>
        <w:rPr>
          <w:rFonts w:ascii="Times New Roman" w:hAnsi="Times New Roman" w:cs="Times New Roman"/>
          <w:sz w:val="22"/>
          <w:szCs w:val="22"/>
        </w:rPr>
      </w:pPr>
      <w:bookmarkStart w:id="3" w:name="_Toc240747745"/>
      <w:r w:rsidRPr="001102EB">
        <w:rPr>
          <w:rFonts w:ascii="Times New Roman" w:hAnsi="Times New Roman" w:cs="Times New Roman"/>
          <w:sz w:val="22"/>
          <w:szCs w:val="22"/>
        </w:rPr>
        <w:t>2.2 Objectives</w:t>
      </w:r>
      <w:bookmarkEnd w:id="3"/>
    </w:p>
    <w:p w14:paraId="2A4B8645" w14:textId="77777777" w:rsidR="00121769" w:rsidRPr="001102EB" w:rsidRDefault="00000000">
      <w:pPr>
        <w:pStyle w:val="BodyText"/>
        <w:numPr>
          <w:ilvl w:val="0"/>
          <w:numId w:val="2"/>
        </w:numPr>
        <w:spacing w:before="40" w:after="100"/>
        <w:rPr>
          <w:rFonts w:ascii="Times New Roman" w:hAnsi="Times New Roman" w:cs="Times New Roman"/>
          <w:sz w:val="22"/>
          <w:szCs w:val="22"/>
        </w:rPr>
      </w:pPr>
      <w:r w:rsidRPr="001102EB">
        <w:rPr>
          <w:rFonts w:ascii="Times New Roman" w:hAnsi="Times New Roman" w:cs="Times New Roman"/>
          <w:sz w:val="22"/>
          <w:szCs w:val="22"/>
        </w:rPr>
        <w:t>Establish whether the problem Turnaround addresses is economically material and empirically documented in East African corridors.</w:t>
      </w:r>
    </w:p>
    <w:p w14:paraId="2E6ABD7D" w14:textId="77777777" w:rsidR="00121769" w:rsidRPr="001102EB" w:rsidRDefault="00000000">
      <w:pPr>
        <w:pStyle w:val="BodyText"/>
        <w:numPr>
          <w:ilvl w:val="0"/>
          <w:numId w:val="2"/>
        </w:numPr>
        <w:spacing w:before="40" w:after="100"/>
        <w:rPr>
          <w:rFonts w:ascii="Times New Roman" w:hAnsi="Times New Roman" w:cs="Times New Roman"/>
          <w:sz w:val="22"/>
          <w:szCs w:val="22"/>
        </w:rPr>
      </w:pPr>
      <w:r w:rsidRPr="001102EB">
        <w:rPr>
          <w:rFonts w:ascii="Times New Roman" w:hAnsi="Times New Roman" w:cs="Times New Roman"/>
          <w:sz w:val="22"/>
          <w:szCs w:val="22"/>
        </w:rPr>
        <w:t xml:space="preserve">Identify the precise research gap that distinguishes Turnaround from existing </w:t>
      </w:r>
      <w:proofErr w:type="spellStart"/>
      <w:r w:rsidRPr="001102EB">
        <w:rPr>
          <w:rFonts w:ascii="Times New Roman" w:hAnsi="Times New Roman" w:cs="Times New Roman"/>
          <w:sz w:val="22"/>
          <w:szCs w:val="22"/>
        </w:rPr>
        <w:t>digitalisation</w:t>
      </w:r>
      <w:proofErr w:type="spellEnd"/>
      <w:r w:rsidRPr="001102EB">
        <w:rPr>
          <w:rFonts w:ascii="Times New Roman" w:hAnsi="Times New Roman" w:cs="Times New Roman"/>
          <w:sz w:val="22"/>
          <w:szCs w:val="22"/>
        </w:rPr>
        <w:t xml:space="preserve"> efforts.</w:t>
      </w:r>
    </w:p>
    <w:p w14:paraId="4FF435A2" w14:textId="77777777" w:rsidR="00121769" w:rsidRPr="001102EB" w:rsidRDefault="00000000">
      <w:pPr>
        <w:pStyle w:val="BodyText"/>
        <w:numPr>
          <w:ilvl w:val="0"/>
          <w:numId w:val="2"/>
        </w:numPr>
        <w:spacing w:before="40" w:after="100"/>
        <w:rPr>
          <w:rFonts w:ascii="Times New Roman" w:hAnsi="Times New Roman" w:cs="Times New Roman"/>
          <w:sz w:val="22"/>
          <w:szCs w:val="22"/>
        </w:rPr>
      </w:pPr>
      <w:r w:rsidRPr="001102EB">
        <w:rPr>
          <w:rFonts w:ascii="Times New Roman" w:hAnsi="Times New Roman" w:cs="Times New Roman"/>
          <w:sz w:val="22"/>
          <w:szCs w:val="22"/>
        </w:rPr>
        <w:t>Assess the strength of evidence behind each proposed product module.</w:t>
      </w:r>
    </w:p>
    <w:p w14:paraId="66BA5DCB" w14:textId="77777777" w:rsidR="00121769" w:rsidRPr="001102EB" w:rsidRDefault="00000000">
      <w:pPr>
        <w:pStyle w:val="BodyText"/>
        <w:numPr>
          <w:ilvl w:val="0"/>
          <w:numId w:val="2"/>
        </w:numPr>
        <w:spacing w:before="40" w:after="100"/>
        <w:rPr>
          <w:rFonts w:ascii="Times New Roman" w:hAnsi="Times New Roman" w:cs="Times New Roman"/>
          <w:sz w:val="22"/>
          <w:szCs w:val="22"/>
        </w:rPr>
      </w:pPr>
      <w:r w:rsidRPr="001102EB">
        <w:rPr>
          <w:rFonts w:ascii="Times New Roman" w:hAnsi="Times New Roman" w:cs="Times New Roman"/>
          <w:sz w:val="22"/>
          <w:szCs w:val="22"/>
        </w:rPr>
        <w:t>Derive design and sequencing requirements that follow from the evidence rather than from product preference.</w:t>
      </w:r>
    </w:p>
    <w:p w14:paraId="16AD1BB3" w14:textId="77777777" w:rsidR="00121769" w:rsidRPr="001102EB" w:rsidRDefault="00000000">
      <w:pPr>
        <w:pStyle w:val="BodyText"/>
        <w:numPr>
          <w:ilvl w:val="0"/>
          <w:numId w:val="2"/>
        </w:numPr>
        <w:spacing w:before="40" w:after="100"/>
        <w:rPr>
          <w:rFonts w:ascii="Times New Roman" w:hAnsi="Times New Roman" w:cs="Times New Roman"/>
          <w:sz w:val="22"/>
          <w:szCs w:val="22"/>
        </w:rPr>
      </w:pPr>
      <w:r w:rsidRPr="001102EB">
        <w:rPr>
          <w:rFonts w:ascii="Times New Roman" w:hAnsi="Times New Roman" w:cs="Times New Roman"/>
          <w:sz w:val="22"/>
          <w:szCs w:val="22"/>
        </w:rPr>
        <w:t>Document the adoption, governance and interoperability risks that condition the platform’s value.</w:t>
      </w:r>
    </w:p>
    <w:p w14:paraId="0A0C6B89" w14:textId="186C54AA" w:rsidR="00121769" w:rsidRPr="001102EB" w:rsidRDefault="00000000">
      <w:pPr>
        <w:pStyle w:val="Heading2"/>
        <w:rPr>
          <w:rFonts w:ascii="Times New Roman" w:hAnsi="Times New Roman" w:cs="Times New Roman"/>
          <w:sz w:val="22"/>
          <w:szCs w:val="22"/>
        </w:rPr>
      </w:pPr>
      <w:bookmarkStart w:id="4" w:name="_Toc240747746"/>
      <w:r w:rsidRPr="001102EB">
        <w:rPr>
          <w:rFonts w:ascii="Times New Roman" w:hAnsi="Times New Roman" w:cs="Times New Roman"/>
          <w:sz w:val="22"/>
          <w:szCs w:val="22"/>
        </w:rPr>
        <w:t>2.3 Evidence base and citation currency</w:t>
      </w:r>
      <w:bookmarkEnd w:id="4"/>
    </w:p>
    <w:p w14:paraId="19862184"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The review draws on twenty-seven sources. Of these, twenty-one (78%) were published in 2022 or later and fifteen (56%) in 2025–2026, which satisfies the general expectation that a technology-and-policy review be anchored in current literature. Six older sources are retained deliberately because they remain the standard reference works for their specific claims: Christ and </w:t>
      </w:r>
      <w:proofErr w:type="spellStart"/>
      <w:r w:rsidRPr="001102EB">
        <w:rPr>
          <w:rFonts w:ascii="Times New Roman" w:hAnsi="Times New Roman" w:cs="Times New Roman"/>
          <w:sz w:val="22"/>
          <w:szCs w:val="22"/>
        </w:rPr>
        <w:t>Ferrantino</w:t>
      </w:r>
      <w:proofErr w:type="spellEnd"/>
      <w:r w:rsidRPr="001102EB">
        <w:rPr>
          <w:rFonts w:ascii="Times New Roman" w:hAnsi="Times New Roman" w:cs="Times New Roman"/>
          <w:sz w:val="22"/>
          <w:szCs w:val="22"/>
        </w:rPr>
        <w:t xml:space="preserve"> (2011) for the cost–time–uncertainty decomposition of Sub-Saharan land transport; Fitzmaurice and Hartmann (2013) for Northern Corridor border-crossing monitoring; </w:t>
      </w:r>
      <w:proofErr w:type="spellStart"/>
      <w:r w:rsidRPr="001102EB">
        <w:rPr>
          <w:rFonts w:ascii="Times New Roman" w:hAnsi="Times New Roman" w:cs="Times New Roman"/>
          <w:sz w:val="22"/>
          <w:szCs w:val="22"/>
        </w:rPr>
        <w:t>Kipkoech</w:t>
      </w:r>
      <w:proofErr w:type="spellEnd"/>
      <w:r w:rsidRPr="001102EB">
        <w:rPr>
          <w:rFonts w:ascii="Times New Roman" w:hAnsi="Times New Roman" w:cs="Times New Roman"/>
          <w:sz w:val="22"/>
          <w:szCs w:val="22"/>
        </w:rPr>
        <w:t xml:space="preserve"> and </w:t>
      </w:r>
      <w:proofErr w:type="spellStart"/>
      <w:r w:rsidRPr="001102EB">
        <w:rPr>
          <w:rFonts w:ascii="Times New Roman" w:hAnsi="Times New Roman" w:cs="Times New Roman"/>
          <w:sz w:val="22"/>
          <w:szCs w:val="22"/>
        </w:rPr>
        <w:t>Mugambi</w:t>
      </w:r>
      <w:proofErr w:type="spellEnd"/>
      <w:r w:rsidRPr="001102EB">
        <w:rPr>
          <w:rFonts w:ascii="Times New Roman" w:hAnsi="Times New Roman" w:cs="Times New Roman"/>
          <w:sz w:val="22"/>
          <w:szCs w:val="22"/>
        </w:rPr>
        <w:t xml:space="preserve"> (2014) for hinterland inefficiency at Kenya Ports Authority; Brits and </w:t>
      </w:r>
      <w:proofErr w:type="spellStart"/>
      <w:r w:rsidRPr="001102EB">
        <w:rPr>
          <w:rFonts w:ascii="Times New Roman" w:hAnsi="Times New Roman" w:cs="Times New Roman"/>
          <w:sz w:val="22"/>
          <w:szCs w:val="22"/>
        </w:rPr>
        <w:t>Waiyaki</w:t>
      </w:r>
      <w:proofErr w:type="spellEnd"/>
      <w:r w:rsidRPr="001102EB">
        <w:rPr>
          <w:rFonts w:ascii="Times New Roman" w:hAnsi="Times New Roman" w:cs="Times New Roman"/>
          <w:sz w:val="22"/>
          <w:szCs w:val="22"/>
        </w:rPr>
        <w:t xml:space="preserve"> (2015) and </w:t>
      </w:r>
      <w:proofErr w:type="spellStart"/>
      <w:r w:rsidRPr="001102EB">
        <w:rPr>
          <w:rFonts w:ascii="Times New Roman" w:hAnsi="Times New Roman" w:cs="Times New Roman"/>
          <w:sz w:val="22"/>
          <w:szCs w:val="22"/>
        </w:rPr>
        <w:t>Charanaraj</w:t>
      </w:r>
      <w:proofErr w:type="spellEnd"/>
      <w:r w:rsidRPr="001102EB">
        <w:rPr>
          <w:rFonts w:ascii="Times New Roman" w:hAnsi="Times New Roman" w:cs="Times New Roman"/>
          <w:sz w:val="22"/>
          <w:szCs w:val="22"/>
        </w:rPr>
        <w:t xml:space="preserve"> et al. (2019) for telematics architecture; and </w:t>
      </w:r>
      <w:proofErr w:type="spellStart"/>
      <w:r w:rsidRPr="001102EB">
        <w:rPr>
          <w:rFonts w:ascii="Times New Roman" w:hAnsi="Times New Roman" w:cs="Times New Roman"/>
          <w:sz w:val="22"/>
          <w:szCs w:val="22"/>
        </w:rPr>
        <w:t>Kunaka</w:t>
      </w:r>
      <w:proofErr w:type="spellEnd"/>
      <w:r w:rsidRPr="001102EB">
        <w:rPr>
          <w:rFonts w:ascii="Times New Roman" w:hAnsi="Times New Roman" w:cs="Times New Roman"/>
          <w:sz w:val="22"/>
          <w:szCs w:val="22"/>
        </w:rPr>
        <w:t xml:space="preserve"> et al. (2016) and Hoffman et al. (2016) for East African trucking productivity and customs simulation respectively. Where a recent study replicates an older finding, both are cited so the reader can see that the pattern has persisted rather than merely been asserted.</w:t>
      </w:r>
    </w:p>
    <w:p w14:paraId="49C08804"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Sources were screened using Consensus, an AI-assisted academic search engine, and each claim in this document is attributed to the specific study that supports it. All citations follow APA 7th edition and carry a resolvable DOI where the publisher has assigned one.</w:t>
      </w:r>
    </w:p>
    <w:p w14:paraId="7A2ECABB" w14:textId="77777777" w:rsidR="00121769" w:rsidRPr="001102EB" w:rsidRDefault="00000000">
      <w:pPr>
        <w:rPr>
          <w:rFonts w:ascii="Times New Roman" w:hAnsi="Times New Roman" w:cs="Times New Roman"/>
          <w:sz w:val="22"/>
          <w:szCs w:val="22"/>
        </w:rPr>
      </w:pPr>
      <w:r w:rsidRPr="001102EB">
        <w:rPr>
          <w:rFonts w:ascii="Times New Roman" w:hAnsi="Times New Roman" w:cs="Times New Roman"/>
          <w:sz w:val="22"/>
          <w:szCs w:val="22"/>
        </w:rPr>
        <w:br w:type="page"/>
      </w:r>
    </w:p>
    <w:p w14:paraId="70245A7F" w14:textId="77777777" w:rsidR="00121769" w:rsidRPr="001102EB" w:rsidRDefault="00000000">
      <w:pPr>
        <w:pStyle w:val="Heading1"/>
        <w:rPr>
          <w:rFonts w:ascii="Times New Roman" w:hAnsi="Times New Roman" w:cs="Times New Roman"/>
          <w:sz w:val="22"/>
          <w:szCs w:val="22"/>
        </w:rPr>
      </w:pPr>
      <w:bookmarkStart w:id="5" w:name="_Toc240747747"/>
      <w:r w:rsidRPr="001102EB">
        <w:rPr>
          <w:rFonts w:ascii="Times New Roman" w:hAnsi="Times New Roman" w:cs="Times New Roman"/>
          <w:sz w:val="22"/>
          <w:szCs w:val="22"/>
        </w:rPr>
        <w:lastRenderedPageBreak/>
        <w:t>3.  Problem Statement: The Real Research Problem</w:t>
      </w:r>
      <w:bookmarkEnd w:id="5"/>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121769" w:rsidRPr="001102EB" w14:paraId="071FE125" w14:textId="77777777" w:rsidTr="006D5C72">
        <w:tc>
          <w:tcPr>
            <w:tcW w:w="9020" w:type="dxa"/>
            <w:tcBorders>
              <w:top w:val="none" w:sz="0" w:space="0" w:color="FFFFFF"/>
              <w:left w:val="single" w:sz="18" w:space="0" w:color="117A65"/>
              <w:bottom w:val="none" w:sz="0" w:space="0" w:color="FFFFFF"/>
              <w:right w:val="none" w:sz="0" w:space="0" w:color="FFFFFF"/>
            </w:tcBorders>
            <w:shd w:val="clear" w:color="auto" w:fill="EDF4F5"/>
            <w:tcMar>
              <w:top w:w="200" w:type="dxa"/>
              <w:left w:w="240" w:type="dxa"/>
              <w:bottom w:w="200" w:type="dxa"/>
              <w:right w:w="240" w:type="dxa"/>
            </w:tcMar>
          </w:tcPr>
          <w:p w14:paraId="3DB0B000" w14:textId="77777777" w:rsidR="00121769" w:rsidRPr="001102EB" w:rsidRDefault="00000000">
            <w:pPr>
              <w:spacing w:after="90"/>
              <w:rPr>
                <w:rFonts w:ascii="Times New Roman" w:hAnsi="Times New Roman" w:cs="Times New Roman"/>
                <w:sz w:val="22"/>
                <w:szCs w:val="22"/>
              </w:rPr>
            </w:pPr>
            <w:r w:rsidRPr="001102EB">
              <w:rPr>
                <w:rFonts w:ascii="Times New Roman" w:eastAsia="Cambria" w:hAnsi="Times New Roman" w:cs="Times New Roman"/>
                <w:b/>
                <w:bCs/>
                <w:color w:val="0B3C49"/>
                <w:sz w:val="22"/>
                <w:szCs w:val="22"/>
              </w:rPr>
              <w:t>The problem, stated precisely</w:t>
            </w:r>
          </w:p>
          <w:p w14:paraId="3E5CBF33" w14:textId="09446218" w:rsidR="00121769" w:rsidRPr="001102EB" w:rsidRDefault="00000000">
            <w:pPr>
              <w:spacing w:line="276" w:lineRule="auto"/>
              <w:jc w:val="both"/>
              <w:rPr>
                <w:rFonts w:ascii="Times New Roman" w:hAnsi="Times New Roman" w:cs="Times New Roman"/>
                <w:sz w:val="22"/>
                <w:szCs w:val="22"/>
              </w:rPr>
            </w:pPr>
            <w:r w:rsidRPr="001102EB">
              <w:rPr>
                <w:rFonts w:ascii="Times New Roman" w:hAnsi="Times New Roman" w:cs="Times New Roman"/>
                <w:sz w:val="22"/>
                <w:szCs w:val="22"/>
              </w:rPr>
              <w:t xml:space="preserve">East African corridor logistics still lack reliable, shared, economic-grade delay intelligence. Delay is generated at identifiable nodes, is measurable in principle, and is expensive </w:t>
            </w:r>
            <w:r w:rsidR="006D5C72">
              <w:rPr>
                <w:rFonts w:ascii="Times New Roman" w:hAnsi="Times New Roman" w:cs="Times New Roman"/>
                <w:sz w:val="22"/>
                <w:szCs w:val="22"/>
              </w:rPr>
              <w:t>-</w:t>
            </w:r>
            <w:r w:rsidRPr="001102EB">
              <w:rPr>
                <w:rFonts w:ascii="Times New Roman" w:hAnsi="Times New Roman" w:cs="Times New Roman"/>
                <w:sz w:val="22"/>
                <w:szCs w:val="22"/>
              </w:rPr>
              <w:t xml:space="preserve"> but it is not currently observed dependably, attributed to a responsible node, shared across the institutions that could act on it, or translated into the economic terms that justify intervention.</w:t>
            </w:r>
          </w:p>
        </w:tc>
      </w:tr>
    </w:tbl>
    <w:p w14:paraId="6D0D0535" w14:textId="77777777" w:rsidR="00121769" w:rsidRPr="001102EB" w:rsidRDefault="00121769">
      <w:pPr>
        <w:spacing w:after="200"/>
        <w:rPr>
          <w:rFonts w:ascii="Times New Roman" w:hAnsi="Times New Roman" w:cs="Times New Roman"/>
          <w:sz w:val="22"/>
          <w:szCs w:val="22"/>
        </w:rPr>
      </w:pPr>
    </w:p>
    <w:p w14:paraId="278DA802" w14:textId="77777777" w:rsidR="00121769" w:rsidRPr="001102EB" w:rsidRDefault="00000000">
      <w:pPr>
        <w:pStyle w:val="Heading2"/>
        <w:rPr>
          <w:rFonts w:ascii="Times New Roman" w:hAnsi="Times New Roman" w:cs="Times New Roman"/>
          <w:sz w:val="22"/>
          <w:szCs w:val="22"/>
        </w:rPr>
      </w:pPr>
      <w:bookmarkStart w:id="6" w:name="_Toc240747748"/>
      <w:proofErr w:type="gramStart"/>
      <w:r w:rsidRPr="001102EB">
        <w:rPr>
          <w:rFonts w:ascii="Times New Roman" w:hAnsi="Times New Roman" w:cs="Times New Roman"/>
          <w:sz w:val="22"/>
          <w:szCs w:val="22"/>
        </w:rPr>
        <w:t>3.1  Time</w:t>
      </w:r>
      <w:proofErr w:type="gramEnd"/>
      <w:r w:rsidRPr="001102EB">
        <w:rPr>
          <w:rFonts w:ascii="Times New Roman" w:hAnsi="Times New Roman" w:cs="Times New Roman"/>
          <w:sz w:val="22"/>
          <w:szCs w:val="22"/>
        </w:rPr>
        <w:t xml:space="preserve"> uncertainty as a first-order economic constraint</w:t>
      </w:r>
      <w:bookmarkEnd w:id="6"/>
    </w:p>
    <w:p w14:paraId="007321FB"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The real problem in the research is that time uncertainty in East African freight corridors is a </w:t>
      </w:r>
      <w:r w:rsidRPr="001102EB">
        <w:rPr>
          <w:rFonts w:ascii="Times New Roman" w:hAnsi="Times New Roman" w:cs="Times New Roman"/>
          <w:b/>
          <w:bCs/>
          <w:sz w:val="22"/>
          <w:szCs w:val="22"/>
        </w:rPr>
        <w:t>first-order economic constraint</w:t>
      </w:r>
      <w:r w:rsidRPr="001102EB">
        <w:rPr>
          <w:rFonts w:ascii="Times New Roman" w:hAnsi="Times New Roman" w:cs="Times New Roman"/>
          <w:sz w:val="22"/>
          <w:szCs w:val="22"/>
        </w:rPr>
        <w:t xml:space="preserve">, not a secondary operational inconvenience (Christ &amp; </w:t>
      </w:r>
      <w:proofErr w:type="spellStart"/>
      <w:r w:rsidRPr="001102EB">
        <w:rPr>
          <w:rFonts w:ascii="Times New Roman" w:hAnsi="Times New Roman" w:cs="Times New Roman"/>
          <w:sz w:val="22"/>
          <w:szCs w:val="22"/>
        </w:rPr>
        <w:t>Ferrantino</w:t>
      </w:r>
      <w:proofErr w:type="spellEnd"/>
      <w:r w:rsidRPr="001102EB">
        <w:rPr>
          <w:rFonts w:ascii="Times New Roman" w:hAnsi="Times New Roman" w:cs="Times New Roman"/>
          <w:sz w:val="22"/>
          <w:szCs w:val="22"/>
        </w:rPr>
        <w:t xml:space="preserve">, 2011; Hoffman et al., 2023). Inland export transport in Sub-Saharan Africa is marked by high cost, long delays and substantial uncertainty, especially for landlocked economies whose trade performance is a direct function of corridor performance (Christ &amp; </w:t>
      </w:r>
      <w:proofErr w:type="spellStart"/>
      <w:r w:rsidRPr="001102EB">
        <w:rPr>
          <w:rFonts w:ascii="Times New Roman" w:hAnsi="Times New Roman" w:cs="Times New Roman"/>
          <w:sz w:val="22"/>
          <w:szCs w:val="22"/>
        </w:rPr>
        <w:t>Ferrantino</w:t>
      </w:r>
      <w:proofErr w:type="spellEnd"/>
      <w:r w:rsidRPr="001102EB">
        <w:rPr>
          <w:rFonts w:ascii="Times New Roman" w:hAnsi="Times New Roman" w:cs="Times New Roman"/>
          <w:sz w:val="22"/>
          <w:szCs w:val="22"/>
        </w:rPr>
        <w:t xml:space="preserve">, 2011; Fitzmaurice &amp; Hartmann, 2013; </w:t>
      </w:r>
      <w:proofErr w:type="spellStart"/>
      <w:r w:rsidRPr="001102EB">
        <w:rPr>
          <w:rFonts w:ascii="Times New Roman" w:hAnsi="Times New Roman" w:cs="Times New Roman"/>
          <w:sz w:val="22"/>
          <w:szCs w:val="22"/>
        </w:rPr>
        <w:t>Kunaka</w:t>
      </w:r>
      <w:proofErr w:type="spellEnd"/>
      <w:r w:rsidRPr="001102EB">
        <w:rPr>
          <w:rFonts w:ascii="Times New Roman" w:hAnsi="Times New Roman" w:cs="Times New Roman"/>
          <w:sz w:val="22"/>
          <w:szCs w:val="22"/>
        </w:rPr>
        <w:t xml:space="preserve"> et al., 2016).</w:t>
      </w:r>
    </w:p>
    <w:p w14:paraId="5BEB5813"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Corridor users pay not only freight charges but also inventory, stockholding, late-delivery and competitiveness penalties caused by delay variability (Hoffman et al., 2023). In comparative corridor work using a total-economic-cost framework, variability in delay contributes more to total economic cost than direct transport cost, and in ineffective corridors can account for up to </w:t>
      </w:r>
      <w:r w:rsidRPr="001102EB">
        <w:rPr>
          <w:rFonts w:ascii="Times New Roman" w:hAnsi="Times New Roman" w:cs="Times New Roman"/>
          <w:b/>
          <w:bCs/>
          <w:sz w:val="22"/>
          <w:szCs w:val="22"/>
        </w:rPr>
        <w:t>80% of total corridor cost</w:t>
      </w:r>
      <w:r w:rsidRPr="001102EB">
        <w:rPr>
          <w:rFonts w:ascii="Times New Roman" w:hAnsi="Times New Roman" w:cs="Times New Roman"/>
          <w:sz w:val="22"/>
          <w:szCs w:val="22"/>
        </w:rPr>
        <w:t xml:space="preserve"> (Hoffman et al., 2023). This is the single most important economic result in the review, because it means an intervention that reduces the </w:t>
      </w:r>
      <w:r w:rsidRPr="001102EB">
        <w:rPr>
          <w:rFonts w:ascii="Times New Roman" w:hAnsi="Times New Roman" w:cs="Times New Roman"/>
          <w:i/>
          <w:iCs/>
          <w:sz w:val="22"/>
          <w:szCs w:val="22"/>
        </w:rPr>
        <w:t>variance</w:t>
      </w:r>
      <w:r w:rsidRPr="001102EB">
        <w:rPr>
          <w:rFonts w:ascii="Times New Roman" w:hAnsi="Times New Roman" w:cs="Times New Roman"/>
          <w:sz w:val="22"/>
          <w:szCs w:val="22"/>
        </w:rPr>
        <w:t xml:space="preserve"> of transit time can be worth more than one that reduces its mean.</w:t>
      </w:r>
    </w:p>
    <w:p w14:paraId="6E9EAC17" w14:textId="62A455F1" w:rsidR="00121769" w:rsidRPr="001102EB" w:rsidRDefault="00000000">
      <w:pPr>
        <w:pStyle w:val="Heading2"/>
        <w:rPr>
          <w:rFonts w:ascii="Times New Roman" w:hAnsi="Times New Roman" w:cs="Times New Roman"/>
          <w:sz w:val="22"/>
          <w:szCs w:val="22"/>
        </w:rPr>
      </w:pPr>
      <w:bookmarkStart w:id="7" w:name="_Toc240747749"/>
      <w:r w:rsidRPr="001102EB">
        <w:rPr>
          <w:rFonts w:ascii="Times New Roman" w:hAnsi="Times New Roman" w:cs="Times New Roman"/>
          <w:sz w:val="22"/>
          <w:szCs w:val="22"/>
        </w:rPr>
        <w:t>3.2 Node-level evidence across the corridors</w:t>
      </w:r>
      <w:bookmarkEnd w:id="7"/>
    </w:p>
    <w:p w14:paraId="583CD5D5"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The same problem recurs at every major node, which is what makes it a corridor problem rather than a facility problem.</w:t>
      </w:r>
    </w:p>
    <w:p w14:paraId="30E42060" w14:textId="77777777" w:rsidR="00121769" w:rsidRPr="001102EB" w:rsidRDefault="00000000">
      <w:pPr>
        <w:pStyle w:val="Heading3"/>
        <w:rPr>
          <w:rFonts w:ascii="Times New Roman" w:hAnsi="Times New Roman" w:cs="Times New Roman"/>
          <w:sz w:val="22"/>
          <w:szCs w:val="22"/>
        </w:rPr>
      </w:pPr>
      <w:bookmarkStart w:id="8" w:name="_Toc240747750"/>
      <w:r w:rsidRPr="001102EB">
        <w:rPr>
          <w:rFonts w:ascii="Times New Roman" w:hAnsi="Times New Roman" w:cs="Times New Roman"/>
          <w:sz w:val="22"/>
          <w:szCs w:val="22"/>
        </w:rPr>
        <w:t>Ports and the Northern Corridor</w:t>
      </w:r>
      <w:bookmarkEnd w:id="8"/>
    </w:p>
    <w:p w14:paraId="3ABACE1B"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Ports are a central bottleneck in this cost structure (Hoffman et al., 2023; </w:t>
      </w:r>
      <w:proofErr w:type="spellStart"/>
      <w:r w:rsidRPr="001102EB">
        <w:rPr>
          <w:rFonts w:ascii="Times New Roman" w:hAnsi="Times New Roman" w:cs="Times New Roman"/>
          <w:sz w:val="22"/>
          <w:szCs w:val="22"/>
        </w:rPr>
        <w:t>Kunambi</w:t>
      </w:r>
      <w:proofErr w:type="spellEnd"/>
      <w:r w:rsidRPr="001102EB">
        <w:rPr>
          <w:rFonts w:ascii="Times New Roman" w:hAnsi="Times New Roman" w:cs="Times New Roman"/>
          <w:sz w:val="22"/>
          <w:szCs w:val="22"/>
        </w:rPr>
        <w:t xml:space="preserve"> &amp; Zheng, 2025). The Northern Corridor remains East and Central Africa’s busiest route, yet Mombasa-linked flows still suffer congestion, weak transshipment performance and limited container capacity (</w:t>
      </w:r>
      <w:proofErr w:type="spellStart"/>
      <w:r w:rsidRPr="001102EB">
        <w:rPr>
          <w:rFonts w:ascii="Times New Roman" w:hAnsi="Times New Roman" w:cs="Times New Roman"/>
          <w:sz w:val="22"/>
          <w:szCs w:val="22"/>
        </w:rPr>
        <w:t>Kuteyi</w:t>
      </w:r>
      <w:proofErr w:type="spellEnd"/>
      <w:r w:rsidRPr="001102EB">
        <w:rPr>
          <w:rFonts w:ascii="Times New Roman" w:hAnsi="Times New Roman" w:cs="Times New Roman"/>
          <w:sz w:val="22"/>
          <w:szCs w:val="22"/>
        </w:rPr>
        <w:t xml:space="preserve"> &amp; Winkler, 2022; </w:t>
      </w:r>
      <w:proofErr w:type="spellStart"/>
      <w:r w:rsidRPr="001102EB">
        <w:rPr>
          <w:rFonts w:ascii="Times New Roman" w:hAnsi="Times New Roman" w:cs="Times New Roman"/>
          <w:sz w:val="22"/>
          <w:szCs w:val="22"/>
        </w:rPr>
        <w:t>Kipkoech</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Mugambi</w:t>
      </w:r>
      <w:proofErr w:type="spellEnd"/>
      <w:r w:rsidRPr="001102EB">
        <w:rPr>
          <w:rFonts w:ascii="Times New Roman" w:hAnsi="Times New Roman" w:cs="Times New Roman"/>
          <w:sz w:val="22"/>
          <w:szCs w:val="22"/>
        </w:rPr>
        <w:t>, 2014). Hinterland inefficiencies slow cargo evacuation from Mombasa, raising both truck turnaround time and port dwell time (</w:t>
      </w:r>
      <w:proofErr w:type="spellStart"/>
      <w:r w:rsidRPr="001102EB">
        <w:rPr>
          <w:rFonts w:ascii="Times New Roman" w:hAnsi="Times New Roman" w:cs="Times New Roman"/>
          <w:sz w:val="22"/>
          <w:szCs w:val="22"/>
        </w:rPr>
        <w:t>Kipkoech</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Mugambi</w:t>
      </w:r>
      <w:proofErr w:type="spellEnd"/>
      <w:r w:rsidRPr="001102EB">
        <w:rPr>
          <w:rFonts w:ascii="Times New Roman" w:hAnsi="Times New Roman" w:cs="Times New Roman"/>
          <w:sz w:val="22"/>
          <w:szCs w:val="22"/>
        </w:rPr>
        <w:t>, 2014; Ibrahim et al., 2025). Border-crossing time along the Northern Corridor is itself a major constraint on trade flows and competitiveness (Fitzmaurice &amp; Hartmann, 2013; Hoffman et al., 2023).</w:t>
      </w:r>
    </w:p>
    <w:p w14:paraId="2B81A35F" w14:textId="77777777" w:rsidR="00121769" w:rsidRPr="001102EB" w:rsidRDefault="00000000">
      <w:pPr>
        <w:pStyle w:val="Heading3"/>
        <w:rPr>
          <w:rFonts w:ascii="Times New Roman" w:hAnsi="Times New Roman" w:cs="Times New Roman"/>
          <w:sz w:val="22"/>
          <w:szCs w:val="22"/>
        </w:rPr>
      </w:pPr>
      <w:bookmarkStart w:id="9" w:name="_Toc240747751"/>
      <w:r w:rsidRPr="001102EB">
        <w:rPr>
          <w:rFonts w:ascii="Times New Roman" w:hAnsi="Times New Roman" w:cs="Times New Roman"/>
          <w:sz w:val="22"/>
          <w:szCs w:val="22"/>
        </w:rPr>
        <w:t>Dar es Salaam and the Central Corridor</w:t>
      </w:r>
      <w:bookmarkEnd w:id="9"/>
    </w:p>
    <w:p w14:paraId="27654AE1" w14:textId="77826A52"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Dar es Salaam shows the same pattern. Cargo-handling delays there are persistent and systemic, with over </w:t>
      </w:r>
      <w:r w:rsidRPr="001102EB">
        <w:rPr>
          <w:rFonts w:ascii="Times New Roman" w:hAnsi="Times New Roman" w:cs="Times New Roman"/>
          <w:b/>
          <w:bCs/>
          <w:sz w:val="22"/>
          <w:szCs w:val="22"/>
        </w:rPr>
        <w:t>70% of respondents reporting delays of four days or more</w:t>
      </w:r>
      <w:r w:rsidRPr="001102EB">
        <w:rPr>
          <w:rFonts w:ascii="Times New Roman" w:hAnsi="Times New Roman" w:cs="Times New Roman"/>
          <w:sz w:val="22"/>
          <w:szCs w:val="22"/>
        </w:rPr>
        <w:t xml:space="preserve"> (</w:t>
      </w:r>
      <w:proofErr w:type="spellStart"/>
      <w:r w:rsidRPr="001102EB">
        <w:rPr>
          <w:rFonts w:ascii="Times New Roman" w:hAnsi="Times New Roman" w:cs="Times New Roman"/>
          <w:sz w:val="22"/>
          <w:szCs w:val="22"/>
        </w:rPr>
        <w:t>Chadenyile</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Kassembe</w:t>
      </w:r>
      <w:proofErr w:type="spellEnd"/>
      <w:r w:rsidRPr="001102EB">
        <w:rPr>
          <w:rFonts w:ascii="Times New Roman" w:hAnsi="Times New Roman" w:cs="Times New Roman"/>
          <w:sz w:val="22"/>
          <w:szCs w:val="22"/>
        </w:rPr>
        <w:t>, 2025). Those delays raise demurrage, storage fees and vessel turnaround time, and they are associated with cargo diversion to competing ports (</w:t>
      </w:r>
      <w:proofErr w:type="spellStart"/>
      <w:r w:rsidRPr="001102EB">
        <w:rPr>
          <w:rFonts w:ascii="Times New Roman" w:hAnsi="Times New Roman" w:cs="Times New Roman"/>
          <w:sz w:val="22"/>
          <w:szCs w:val="22"/>
        </w:rPr>
        <w:t>Chadenyile</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Kassembe</w:t>
      </w:r>
      <w:proofErr w:type="spellEnd"/>
      <w:r w:rsidRPr="001102EB">
        <w:rPr>
          <w:rFonts w:ascii="Times New Roman" w:hAnsi="Times New Roman" w:cs="Times New Roman"/>
          <w:sz w:val="22"/>
          <w:szCs w:val="22"/>
        </w:rPr>
        <w:t>, 2025). Modelling of port</w:t>
      </w:r>
      <w:r w:rsidR="006D5C72">
        <w:rPr>
          <w:rFonts w:ascii="Times New Roman" w:hAnsi="Times New Roman" w:cs="Times New Roman"/>
          <w:sz w:val="22"/>
          <w:szCs w:val="22"/>
        </w:rPr>
        <w:t>-</w:t>
      </w:r>
      <w:r w:rsidRPr="001102EB">
        <w:rPr>
          <w:rFonts w:ascii="Times New Roman" w:hAnsi="Times New Roman" w:cs="Times New Roman"/>
          <w:sz w:val="22"/>
          <w:szCs w:val="22"/>
        </w:rPr>
        <w:t xml:space="preserve">hinterland </w:t>
      </w:r>
      <w:r w:rsidRPr="001102EB">
        <w:rPr>
          <w:rFonts w:ascii="Times New Roman" w:hAnsi="Times New Roman" w:cs="Times New Roman"/>
          <w:sz w:val="22"/>
          <w:szCs w:val="22"/>
        </w:rPr>
        <w:lastRenderedPageBreak/>
        <w:t xml:space="preserve">connectivity using Markov processes, max-flow and traffic-flow methods confirms that cargo spends measurable, separable time in waiting, transit and delayed states </w:t>
      </w:r>
      <w:r w:rsidR="00975934">
        <w:rPr>
          <w:rFonts w:ascii="Times New Roman" w:hAnsi="Times New Roman" w:cs="Times New Roman"/>
          <w:sz w:val="22"/>
          <w:szCs w:val="22"/>
        </w:rPr>
        <w:t>-</w:t>
      </w:r>
      <w:r w:rsidRPr="001102EB">
        <w:rPr>
          <w:rFonts w:ascii="Times New Roman" w:hAnsi="Times New Roman" w:cs="Times New Roman"/>
          <w:sz w:val="22"/>
          <w:szCs w:val="22"/>
        </w:rPr>
        <w:t xml:space="preserve"> the very state machine a dwell-detection product must reproduce (</w:t>
      </w:r>
      <w:proofErr w:type="spellStart"/>
      <w:r w:rsidRPr="001102EB">
        <w:rPr>
          <w:rFonts w:ascii="Times New Roman" w:hAnsi="Times New Roman" w:cs="Times New Roman"/>
          <w:sz w:val="22"/>
          <w:szCs w:val="22"/>
        </w:rPr>
        <w:t>Kunambi</w:t>
      </w:r>
      <w:proofErr w:type="spellEnd"/>
      <w:r w:rsidRPr="001102EB">
        <w:rPr>
          <w:rFonts w:ascii="Times New Roman" w:hAnsi="Times New Roman" w:cs="Times New Roman"/>
          <w:sz w:val="22"/>
          <w:szCs w:val="22"/>
        </w:rPr>
        <w:t xml:space="preserve"> &amp; Zheng, 2025). Customs procedures remain a major drag on trade facilitation and explain a large share of observed performance variation at the port (Kaaya, 2026).</w:t>
      </w:r>
    </w:p>
    <w:p w14:paraId="73F66BA2" w14:textId="77777777" w:rsidR="00121769" w:rsidRPr="001102EB" w:rsidRDefault="00000000">
      <w:pPr>
        <w:pStyle w:val="Heading3"/>
        <w:rPr>
          <w:rFonts w:ascii="Times New Roman" w:hAnsi="Times New Roman" w:cs="Times New Roman"/>
          <w:sz w:val="22"/>
          <w:szCs w:val="22"/>
        </w:rPr>
      </w:pPr>
      <w:bookmarkStart w:id="10" w:name="_Toc240747752"/>
      <w:r w:rsidRPr="001102EB">
        <w:rPr>
          <w:rFonts w:ascii="Times New Roman" w:hAnsi="Times New Roman" w:cs="Times New Roman"/>
          <w:sz w:val="22"/>
          <w:szCs w:val="22"/>
        </w:rPr>
        <w:t>Borders, weighbridges and road frictions</w:t>
      </w:r>
      <w:bookmarkEnd w:id="10"/>
    </w:p>
    <w:p w14:paraId="4F8C1425" w14:textId="0301F3CB"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The problem extends beyond port gates. Non-tariff barriers on the Dar es Salaam</w:t>
      </w:r>
      <w:r w:rsidR="006D5C72">
        <w:rPr>
          <w:rFonts w:ascii="Times New Roman" w:hAnsi="Times New Roman" w:cs="Times New Roman"/>
          <w:sz w:val="22"/>
          <w:szCs w:val="22"/>
        </w:rPr>
        <w:t>-</w:t>
      </w:r>
      <w:proofErr w:type="spellStart"/>
      <w:r w:rsidRPr="001102EB">
        <w:rPr>
          <w:rFonts w:ascii="Times New Roman" w:hAnsi="Times New Roman" w:cs="Times New Roman"/>
          <w:sz w:val="22"/>
          <w:szCs w:val="22"/>
        </w:rPr>
        <w:t>Namanga</w:t>
      </w:r>
      <w:proofErr w:type="spellEnd"/>
      <w:r w:rsidRPr="001102EB">
        <w:rPr>
          <w:rFonts w:ascii="Times New Roman" w:hAnsi="Times New Roman" w:cs="Times New Roman"/>
          <w:sz w:val="22"/>
          <w:szCs w:val="22"/>
        </w:rPr>
        <w:t xml:space="preserve"> route</w:t>
      </w:r>
      <w:r w:rsidR="00975934">
        <w:rPr>
          <w:rFonts w:ascii="Times New Roman" w:hAnsi="Times New Roman" w:cs="Times New Roman"/>
          <w:sz w:val="22"/>
          <w:szCs w:val="22"/>
        </w:rPr>
        <w:t xml:space="preserve"> </w:t>
      </w:r>
      <w:r w:rsidRPr="001102EB">
        <w:rPr>
          <w:rFonts w:ascii="Times New Roman" w:hAnsi="Times New Roman" w:cs="Times New Roman"/>
          <w:sz w:val="22"/>
          <w:szCs w:val="22"/>
        </w:rPr>
        <w:t>roadblocks, customs clearance, permits, weighbridge practices and police check cause both time loss and direct monetary loss for corridor users (</w:t>
      </w:r>
      <w:proofErr w:type="spellStart"/>
      <w:r w:rsidRPr="001102EB">
        <w:rPr>
          <w:rFonts w:ascii="Times New Roman" w:hAnsi="Times New Roman" w:cs="Times New Roman"/>
          <w:sz w:val="22"/>
          <w:szCs w:val="22"/>
        </w:rPr>
        <w:t>Morwa</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Ndilito</w:t>
      </w:r>
      <w:proofErr w:type="spellEnd"/>
      <w:r w:rsidRPr="001102EB">
        <w:rPr>
          <w:rFonts w:ascii="Times New Roman" w:hAnsi="Times New Roman" w:cs="Times New Roman"/>
          <w:sz w:val="22"/>
          <w:szCs w:val="22"/>
        </w:rPr>
        <w:t>, 2024). Comparative evidence from Southern Africa reinforces the same commercial pattern, with high-volume border posts such as Beitbridge generating multi-day queues that undermine cross-border trade performance (</w:t>
      </w:r>
      <w:proofErr w:type="spellStart"/>
      <w:r w:rsidRPr="001102EB">
        <w:rPr>
          <w:rFonts w:ascii="Times New Roman" w:hAnsi="Times New Roman" w:cs="Times New Roman"/>
          <w:sz w:val="22"/>
          <w:szCs w:val="22"/>
        </w:rPr>
        <w:t>Dakora</w:t>
      </w:r>
      <w:proofErr w:type="spellEnd"/>
      <w:r w:rsidRPr="001102EB">
        <w:rPr>
          <w:rFonts w:ascii="Times New Roman" w:hAnsi="Times New Roman" w:cs="Times New Roman"/>
          <w:sz w:val="22"/>
          <w:szCs w:val="22"/>
        </w:rPr>
        <w:t xml:space="preserve"> et al., 2023).</w:t>
      </w:r>
    </w:p>
    <w:p w14:paraId="4BEDB7AB" w14:textId="77777777" w:rsidR="00121769" w:rsidRPr="001102EB" w:rsidRDefault="00121769">
      <w:pPr>
        <w:spacing w:after="80"/>
        <w:rPr>
          <w:rFonts w:ascii="Times New Roman" w:hAnsi="Times New Roman" w:cs="Times New Roman"/>
          <w:sz w:val="22"/>
          <w:szCs w:val="22"/>
        </w:rPr>
      </w:pPr>
    </w:p>
    <w:p w14:paraId="3195E109" w14:textId="77777777" w:rsidR="006D5C72" w:rsidRDefault="006D5C72">
      <w:pPr>
        <w:pStyle w:val="Heading1"/>
        <w:rPr>
          <w:rFonts w:ascii="Times New Roman" w:hAnsi="Times New Roman" w:cs="Times New Roman"/>
          <w:sz w:val="22"/>
          <w:szCs w:val="22"/>
        </w:rPr>
      </w:pPr>
      <w:bookmarkStart w:id="11" w:name="_Toc240747753"/>
    </w:p>
    <w:p w14:paraId="7C09DCB5" w14:textId="77777777" w:rsidR="006D5C72" w:rsidRDefault="006D5C72">
      <w:pPr>
        <w:pStyle w:val="Heading1"/>
        <w:rPr>
          <w:rFonts w:ascii="Times New Roman" w:hAnsi="Times New Roman" w:cs="Times New Roman"/>
          <w:sz w:val="22"/>
          <w:szCs w:val="22"/>
        </w:rPr>
      </w:pPr>
    </w:p>
    <w:p w14:paraId="3C26CC26" w14:textId="77777777" w:rsidR="006D5C72" w:rsidRDefault="006D5C72">
      <w:pPr>
        <w:pStyle w:val="Heading1"/>
        <w:rPr>
          <w:rFonts w:ascii="Times New Roman" w:hAnsi="Times New Roman" w:cs="Times New Roman"/>
          <w:sz w:val="22"/>
          <w:szCs w:val="22"/>
        </w:rPr>
      </w:pPr>
    </w:p>
    <w:p w14:paraId="4390A262" w14:textId="77777777" w:rsidR="006D5C72" w:rsidRDefault="006D5C72">
      <w:pPr>
        <w:pStyle w:val="Heading1"/>
        <w:rPr>
          <w:rFonts w:ascii="Times New Roman" w:hAnsi="Times New Roman" w:cs="Times New Roman"/>
          <w:sz w:val="22"/>
          <w:szCs w:val="22"/>
        </w:rPr>
      </w:pPr>
    </w:p>
    <w:p w14:paraId="3B41E75F" w14:textId="77777777" w:rsidR="006D5C72" w:rsidRDefault="006D5C72">
      <w:pPr>
        <w:pStyle w:val="Heading1"/>
        <w:rPr>
          <w:rFonts w:ascii="Times New Roman" w:hAnsi="Times New Roman" w:cs="Times New Roman"/>
          <w:sz w:val="22"/>
          <w:szCs w:val="22"/>
        </w:rPr>
      </w:pPr>
    </w:p>
    <w:p w14:paraId="006A8C47" w14:textId="77777777" w:rsidR="006D5C72" w:rsidRDefault="006D5C72">
      <w:pPr>
        <w:pStyle w:val="Heading1"/>
        <w:rPr>
          <w:rFonts w:ascii="Times New Roman" w:hAnsi="Times New Roman" w:cs="Times New Roman"/>
          <w:sz w:val="22"/>
          <w:szCs w:val="22"/>
        </w:rPr>
      </w:pPr>
    </w:p>
    <w:p w14:paraId="590160F0" w14:textId="77777777" w:rsidR="006D5C72" w:rsidRDefault="006D5C72">
      <w:pPr>
        <w:pStyle w:val="Heading1"/>
        <w:rPr>
          <w:rFonts w:ascii="Times New Roman" w:hAnsi="Times New Roman" w:cs="Times New Roman"/>
          <w:sz w:val="22"/>
          <w:szCs w:val="22"/>
        </w:rPr>
      </w:pPr>
    </w:p>
    <w:p w14:paraId="4412B517" w14:textId="77777777" w:rsidR="006D5C72" w:rsidRDefault="006D5C72">
      <w:pPr>
        <w:pStyle w:val="Heading1"/>
        <w:rPr>
          <w:rFonts w:ascii="Times New Roman" w:hAnsi="Times New Roman" w:cs="Times New Roman"/>
          <w:sz w:val="22"/>
          <w:szCs w:val="22"/>
        </w:rPr>
      </w:pPr>
    </w:p>
    <w:p w14:paraId="2A1A3782" w14:textId="77777777" w:rsidR="006D5C72" w:rsidRDefault="006D5C72">
      <w:pPr>
        <w:pStyle w:val="Heading1"/>
        <w:rPr>
          <w:rFonts w:ascii="Times New Roman" w:hAnsi="Times New Roman" w:cs="Times New Roman"/>
          <w:sz w:val="22"/>
          <w:szCs w:val="22"/>
        </w:rPr>
      </w:pPr>
    </w:p>
    <w:p w14:paraId="324688C0" w14:textId="77777777" w:rsidR="006D5C72" w:rsidRDefault="006D5C72">
      <w:pPr>
        <w:pStyle w:val="Heading1"/>
        <w:rPr>
          <w:rFonts w:ascii="Times New Roman" w:hAnsi="Times New Roman" w:cs="Times New Roman"/>
          <w:sz w:val="22"/>
          <w:szCs w:val="22"/>
        </w:rPr>
      </w:pPr>
    </w:p>
    <w:p w14:paraId="26CDE9C2" w14:textId="77777777" w:rsidR="006D5C72" w:rsidRDefault="006D5C72">
      <w:pPr>
        <w:pStyle w:val="Heading1"/>
        <w:rPr>
          <w:rFonts w:ascii="Times New Roman" w:hAnsi="Times New Roman" w:cs="Times New Roman"/>
          <w:sz w:val="22"/>
          <w:szCs w:val="22"/>
        </w:rPr>
      </w:pPr>
    </w:p>
    <w:p w14:paraId="047A3435" w14:textId="77777777" w:rsidR="006D5C72" w:rsidRDefault="006D5C72">
      <w:pPr>
        <w:pStyle w:val="Heading1"/>
        <w:rPr>
          <w:rFonts w:ascii="Times New Roman" w:hAnsi="Times New Roman" w:cs="Times New Roman"/>
          <w:sz w:val="22"/>
          <w:szCs w:val="22"/>
        </w:rPr>
      </w:pPr>
    </w:p>
    <w:p w14:paraId="79ABE7FF" w14:textId="448D86D3" w:rsidR="00121769" w:rsidRPr="001102EB" w:rsidRDefault="00000000">
      <w:pPr>
        <w:pStyle w:val="Heading1"/>
        <w:rPr>
          <w:rFonts w:ascii="Times New Roman" w:hAnsi="Times New Roman" w:cs="Times New Roman"/>
          <w:sz w:val="22"/>
          <w:szCs w:val="22"/>
        </w:rPr>
      </w:pPr>
      <w:r w:rsidRPr="001102EB">
        <w:rPr>
          <w:rFonts w:ascii="Times New Roman" w:hAnsi="Times New Roman" w:cs="Times New Roman"/>
          <w:sz w:val="22"/>
          <w:szCs w:val="22"/>
        </w:rPr>
        <w:lastRenderedPageBreak/>
        <w:t>4.  Why Existing Systems Are Insufficient</w:t>
      </w:r>
      <w:bookmarkEnd w:id="11"/>
    </w:p>
    <w:p w14:paraId="52F00969" w14:textId="77777777" w:rsidR="00121769" w:rsidRPr="001102EB" w:rsidRDefault="00000000">
      <w:pPr>
        <w:pStyle w:val="BodyText"/>
        <w:rPr>
          <w:rFonts w:ascii="Times New Roman" w:hAnsi="Times New Roman" w:cs="Times New Roman"/>
          <w:sz w:val="22"/>
          <w:szCs w:val="22"/>
        </w:rPr>
      </w:pPr>
      <w:proofErr w:type="spellStart"/>
      <w:r w:rsidRPr="001102EB">
        <w:rPr>
          <w:rFonts w:ascii="Times New Roman" w:hAnsi="Times New Roman" w:cs="Times New Roman"/>
          <w:sz w:val="22"/>
          <w:szCs w:val="22"/>
        </w:rPr>
        <w:t>Digitalisation</w:t>
      </w:r>
      <w:proofErr w:type="spellEnd"/>
      <w:r w:rsidRPr="001102EB">
        <w:rPr>
          <w:rFonts w:ascii="Times New Roman" w:hAnsi="Times New Roman" w:cs="Times New Roman"/>
          <w:sz w:val="22"/>
          <w:szCs w:val="22"/>
        </w:rPr>
        <w:t xml:space="preserve"> in East African logistics is not absent; it is incomplete and unproven. Five gaps recur across the literature, and together they define the problem Turnaround should actually solve.</w:t>
      </w:r>
    </w:p>
    <w:p w14:paraId="5DA5F103" w14:textId="77777777" w:rsidR="00121769" w:rsidRPr="001102EB" w:rsidRDefault="00121769">
      <w:pPr>
        <w:spacing w:after="80"/>
        <w:rPr>
          <w:rFonts w:ascii="Times New Roman" w:hAnsi="Times New Roman" w:cs="Times New Roman"/>
          <w:sz w:val="22"/>
          <w:szCs w:val="22"/>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220"/>
      </w:tblGrid>
      <w:tr w:rsidR="00121769" w:rsidRPr="001102EB" w14:paraId="6A0ED0EA" w14:textId="77777777">
        <w:trPr>
          <w:tblHeader/>
        </w:trPr>
        <w:tc>
          <w:tcPr>
            <w:tcW w:w="19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421BE132"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Research gap</w:t>
            </w:r>
          </w:p>
        </w:tc>
        <w:tc>
          <w:tcPr>
            <w:tcW w:w="39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429B249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What the literature shows</w:t>
            </w:r>
          </w:p>
        </w:tc>
        <w:tc>
          <w:tcPr>
            <w:tcW w:w="32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54D77E22"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Implication for Turnaround</w:t>
            </w:r>
          </w:p>
        </w:tc>
      </w:tr>
      <w:tr w:rsidR="00121769" w:rsidRPr="001102EB" w14:paraId="646A0579" w14:textId="77777777">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57196CB" w14:textId="77777777" w:rsidR="00121769" w:rsidRPr="001102EB" w:rsidRDefault="00000000">
            <w:pPr>
              <w:spacing w:before="70" w:after="70" w:line="252" w:lineRule="auto"/>
              <w:rPr>
                <w:rFonts w:ascii="Times New Roman" w:hAnsi="Times New Roman" w:cs="Times New Roman"/>
                <w:sz w:val="22"/>
                <w:szCs w:val="22"/>
              </w:rPr>
            </w:pPr>
            <w:proofErr w:type="spellStart"/>
            <w:r w:rsidRPr="001102EB">
              <w:rPr>
                <w:rFonts w:ascii="Times New Roman" w:hAnsi="Times New Roman" w:cs="Times New Roman"/>
                <w:b/>
                <w:bCs/>
                <w:color w:val="0B3C49"/>
                <w:sz w:val="22"/>
                <w:szCs w:val="22"/>
              </w:rPr>
              <w:t>Digitisation</w:t>
            </w:r>
            <w:proofErr w:type="spellEnd"/>
            <w:r w:rsidRPr="001102EB">
              <w:rPr>
                <w:rFonts w:ascii="Times New Roman" w:hAnsi="Times New Roman" w:cs="Times New Roman"/>
                <w:b/>
                <w:bCs/>
                <w:color w:val="0B3C49"/>
                <w:sz w:val="22"/>
                <w:szCs w:val="22"/>
              </w:rPr>
              <w:t xml:space="preserve"> without proof</w:t>
            </w:r>
          </w:p>
        </w:tc>
        <w:tc>
          <w:tcPr>
            <w:tcW w:w="3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1B2D845"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Existing East African literature frequently documents digital platforms but does not quantify their operational or economic outcomes (Raphael, 2025).</w:t>
            </w:r>
          </w:p>
        </w:tc>
        <w:tc>
          <w:tcPr>
            <w:tcW w:w="32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51F7F78"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The gap is not more software; it is measurable, attributable impact.</w:t>
            </w:r>
          </w:p>
        </w:tc>
      </w:tr>
      <w:tr w:rsidR="00121769" w:rsidRPr="001102EB" w14:paraId="61035AC6" w14:textId="77777777">
        <w:tc>
          <w:tcPr>
            <w:tcW w:w="1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260CC7F"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Poor reliability evidence</w:t>
            </w:r>
          </w:p>
        </w:tc>
        <w:tc>
          <w:tcPr>
            <w:tcW w:w="3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692004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Few studies test uptime, downtime or responsiveness, or link these to congestion and demurrage outcomes (Raphael, 2025).</w:t>
            </w:r>
          </w:p>
        </w:tc>
        <w:tc>
          <w:tcPr>
            <w:tcW w:w="32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0A224D7D"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The platform must prove dependable event capture before it claims intelligence.</w:t>
            </w:r>
          </w:p>
        </w:tc>
      </w:tr>
      <w:tr w:rsidR="00121769" w:rsidRPr="001102EB" w14:paraId="60D53A72" w14:textId="77777777">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8BE37C4"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Fragmented institutions</w:t>
            </w:r>
          </w:p>
        </w:tc>
        <w:tc>
          <w:tcPr>
            <w:tcW w:w="3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46E523E"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Port, customs and depot actors work through silos, asynchronous uploads and disjointed timetables (</w:t>
            </w: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2025).</w:t>
            </w:r>
          </w:p>
        </w:tc>
        <w:tc>
          <w:tcPr>
            <w:tcW w:w="32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755C78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Shared, multi-party visibility is a core product requirement, not a later feature.</w:t>
            </w:r>
          </w:p>
        </w:tc>
      </w:tr>
      <w:tr w:rsidR="00121769" w:rsidRPr="001102EB" w14:paraId="44464B4F" w14:textId="77777777">
        <w:tc>
          <w:tcPr>
            <w:tcW w:w="1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F30198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Paper–digital hybrids</w:t>
            </w:r>
          </w:p>
        </w:tc>
        <w:tc>
          <w:tcPr>
            <w:tcW w:w="3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350426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Manual documentation and paper-based processes still cause errors, mismatches, penalties and delay (Ibrahim et al., 2025; Mary &amp; </w:t>
            </w:r>
            <w:proofErr w:type="spellStart"/>
            <w:r w:rsidRPr="001102EB">
              <w:rPr>
                <w:rFonts w:ascii="Times New Roman" w:hAnsi="Times New Roman" w:cs="Times New Roman"/>
                <w:sz w:val="22"/>
                <w:szCs w:val="22"/>
              </w:rPr>
              <w:t>Mayengo</w:t>
            </w:r>
            <w:proofErr w:type="spellEnd"/>
            <w:r w:rsidRPr="001102EB">
              <w:rPr>
                <w:rFonts w:ascii="Times New Roman" w:hAnsi="Times New Roman" w:cs="Times New Roman"/>
                <w:sz w:val="22"/>
                <w:szCs w:val="22"/>
              </w:rPr>
              <w:t>, 2023).</w:t>
            </w:r>
          </w:p>
        </w:tc>
        <w:tc>
          <w:tcPr>
            <w:tcW w:w="32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90F8AA2"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Workflow </w:t>
            </w:r>
            <w:proofErr w:type="spellStart"/>
            <w:r w:rsidRPr="001102EB">
              <w:rPr>
                <w:rFonts w:ascii="Times New Roman" w:hAnsi="Times New Roman" w:cs="Times New Roman"/>
                <w:sz w:val="22"/>
                <w:szCs w:val="22"/>
              </w:rPr>
              <w:t>digitisation</w:t>
            </w:r>
            <w:proofErr w:type="spellEnd"/>
            <w:r w:rsidRPr="001102EB">
              <w:rPr>
                <w:rFonts w:ascii="Times New Roman" w:hAnsi="Times New Roman" w:cs="Times New Roman"/>
                <w:sz w:val="22"/>
                <w:szCs w:val="22"/>
              </w:rPr>
              <w:t xml:space="preserve"> remains unfinished and is a legitimate product surface.</w:t>
            </w:r>
          </w:p>
        </w:tc>
      </w:tr>
      <w:tr w:rsidR="00121769" w:rsidRPr="001102EB" w14:paraId="6366B7A2" w14:textId="77777777">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7C3E319"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Weak economic attribution</w:t>
            </w:r>
          </w:p>
        </w:tc>
        <w:tc>
          <w:tcPr>
            <w:tcW w:w="3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0EC284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Prior corridor studies compared cost and time without translating delay variability into user-level economic cost (Hoffman et al., 2023).</w:t>
            </w:r>
          </w:p>
        </w:tc>
        <w:tc>
          <w:tcPr>
            <w:tcW w:w="32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ED1D860"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Delay-to-cost translation is the true point of differentiation.</w:t>
            </w:r>
          </w:p>
        </w:tc>
      </w:tr>
    </w:tbl>
    <w:p w14:paraId="769FBD1B" w14:textId="77777777" w:rsidR="00121769" w:rsidRPr="001102EB" w:rsidRDefault="00000000">
      <w:pPr>
        <w:spacing w:before="120" w:after="260"/>
        <w:rPr>
          <w:rFonts w:ascii="Times New Roman" w:hAnsi="Times New Roman" w:cs="Times New Roman"/>
          <w:sz w:val="22"/>
          <w:szCs w:val="22"/>
        </w:rPr>
      </w:pPr>
      <w:r w:rsidRPr="001102EB">
        <w:rPr>
          <w:rFonts w:ascii="Times New Roman" w:hAnsi="Times New Roman" w:cs="Times New Roman"/>
          <w:i/>
          <w:iCs/>
          <w:color w:val="596A73"/>
          <w:sz w:val="22"/>
          <w:szCs w:val="22"/>
        </w:rPr>
        <w:t>Table 1.  The core research gaps that define the actual problem Turnaround should solve.</w:t>
      </w:r>
    </w:p>
    <w:p w14:paraId="4266A1FE" w14:textId="77777777" w:rsidR="006D5C72" w:rsidRDefault="006D5C72">
      <w:pPr>
        <w:pStyle w:val="Heading1"/>
        <w:rPr>
          <w:rFonts w:ascii="Times New Roman" w:hAnsi="Times New Roman" w:cs="Times New Roman"/>
          <w:sz w:val="22"/>
          <w:szCs w:val="22"/>
        </w:rPr>
      </w:pPr>
      <w:bookmarkStart w:id="12" w:name="_Toc240747754"/>
    </w:p>
    <w:p w14:paraId="11FFB23C" w14:textId="77777777" w:rsidR="006D5C72" w:rsidRDefault="006D5C72">
      <w:pPr>
        <w:pStyle w:val="Heading1"/>
        <w:rPr>
          <w:rFonts w:ascii="Times New Roman" w:hAnsi="Times New Roman" w:cs="Times New Roman"/>
          <w:sz w:val="22"/>
          <w:szCs w:val="22"/>
        </w:rPr>
      </w:pPr>
    </w:p>
    <w:p w14:paraId="6367FBB3" w14:textId="77777777" w:rsidR="006D5C72" w:rsidRDefault="006D5C72">
      <w:pPr>
        <w:pStyle w:val="Heading1"/>
        <w:rPr>
          <w:rFonts w:ascii="Times New Roman" w:hAnsi="Times New Roman" w:cs="Times New Roman"/>
          <w:sz w:val="22"/>
          <w:szCs w:val="22"/>
        </w:rPr>
      </w:pPr>
    </w:p>
    <w:p w14:paraId="747409E6" w14:textId="77777777" w:rsidR="006D5C72" w:rsidRDefault="006D5C72">
      <w:pPr>
        <w:pStyle w:val="Heading1"/>
        <w:rPr>
          <w:rFonts w:ascii="Times New Roman" w:hAnsi="Times New Roman" w:cs="Times New Roman"/>
          <w:sz w:val="22"/>
          <w:szCs w:val="22"/>
        </w:rPr>
      </w:pPr>
    </w:p>
    <w:p w14:paraId="2C849C05" w14:textId="77777777" w:rsidR="006D5C72" w:rsidRDefault="006D5C72">
      <w:pPr>
        <w:pStyle w:val="Heading1"/>
        <w:rPr>
          <w:rFonts w:ascii="Times New Roman" w:hAnsi="Times New Roman" w:cs="Times New Roman"/>
          <w:sz w:val="22"/>
          <w:szCs w:val="22"/>
        </w:rPr>
      </w:pPr>
    </w:p>
    <w:p w14:paraId="6926AD4B" w14:textId="3B8305DC" w:rsidR="00121769" w:rsidRPr="001102EB" w:rsidRDefault="00000000">
      <w:pPr>
        <w:pStyle w:val="Heading1"/>
        <w:rPr>
          <w:rFonts w:ascii="Times New Roman" w:hAnsi="Times New Roman" w:cs="Times New Roman"/>
          <w:sz w:val="22"/>
          <w:szCs w:val="22"/>
        </w:rPr>
      </w:pPr>
      <w:r w:rsidRPr="001102EB">
        <w:rPr>
          <w:rFonts w:ascii="Times New Roman" w:hAnsi="Times New Roman" w:cs="Times New Roman"/>
          <w:sz w:val="22"/>
          <w:szCs w:val="22"/>
        </w:rPr>
        <w:lastRenderedPageBreak/>
        <w:t>5.  Evidence by Product Module</w:t>
      </w:r>
      <w:bookmarkEnd w:id="12"/>
    </w:p>
    <w:p w14:paraId="0BD2F316"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Each proposed module was assessed against the strength, specificity and corridor relevance of its supporting evidence. Validation is rated </w:t>
      </w:r>
      <w:r w:rsidRPr="001102EB">
        <w:rPr>
          <w:rFonts w:ascii="Times New Roman" w:hAnsi="Times New Roman" w:cs="Times New Roman"/>
          <w:b/>
          <w:bCs/>
          <w:sz w:val="22"/>
          <w:szCs w:val="22"/>
        </w:rPr>
        <w:t>strong</w:t>
      </w:r>
      <w:r w:rsidRPr="001102EB">
        <w:rPr>
          <w:rFonts w:ascii="Times New Roman" w:hAnsi="Times New Roman" w:cs="Times New Roman"/>
          <w:sz w:val="22"/>
          <w:szCs w:val="22"/>
        </w:rPr>
        <w:t xml:space="preserve"> where multiple studies support the mechanism and at least one is East African in setting; </w:t>
      </w:r>
      <w:r w:rsidRPr="001102EB">
        <w:rPr>
          <w:rFonts w:ascii="Times New Roman" w:hAnsi="Times New Roman" w:cs="Times New Roman"/>
          <w:b/>
          <w:bCs/>
          <w:sz w:val="22"/>
          <w:szCs w:val="22"/>
        </w:rPr>
        <w:t>moderate</w:t>
      </w:r>
      <w:r w:rsidRPr="001102EB">
        <w:rPr>
          <w:rFonts w:ascii="Times New Roman" w:hAnsi="Times New Roman" w:cs="Times New Roman"/>
          <w:sz w:val="22"/>
          <w:szCs w:val="22"/>
        </w:rPr>
        <w:t xml:space="preserve"> where the mechanism is supported but the evidence is modelled, indirect, or drawn from other regions.</w:t>
      </w:r>
    </w:p>
    <w:p w14:paraId="36C4487E" w14:textId="77777777" w:rsidR="00121769" w:rsidRPr="001102EB" w:rsidRDefault="00121769">
      <w:pPr>
        <w:spacing w:after="80"/>
        <w:rPr>
          <w:rFonts w:ascii="Times New Roman" w:hAnsi="Times New Roman" w:cs="Times New Roman"/>
          <w:sz w:val="22"/>
          <w:szCs w:val="22"/>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5320"/>
        <w:gridCol w:w="1650"/>
      </w:tblGrid>
      <w:tr w:rsidR="00121769" w:rsidRPr="001102EB" w14:paraId="4CE2D5A1" w14:textId="77777777">
        <w:trPr>
          <w:tblHeader/>
        </w:trPr>
        <w:tc>
          <w:tcPr>
            <w:tcW w:w="205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231DD7C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Product module</w:t>
            </w:r>
          </w:p>
        </w:tc>
        <w:tc>
          <w:tcPr>
            <w:tcW w:w="53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4AEBA424"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Research support</w:t>
            </w:r>
          </w:p>
        </w:tc>
        <w:tc>
          <w:tcPr>
            <w:tcW w:w="165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4D04D16B"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Validation</w:t>
            </w:r>
          </w:p>
        </w:tc>
      </w:tr>
      <w:tr w:rsidR="00121769" w:rsidRPr="001102EB" w14:paraId="14749270" w14:textId="77777777">
        <w:tc>
          <w:tcPr>
            <w:tcW w:w="205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52A609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Geofenced facility detection</w:t>
            </w:r>
          </w:p>
        </w:tc>
        <w:tc>
          <w:tcPr>
            <w:tcW w:w="53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5C7AE2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GPS telematics supports real-time location, movement and vehicle-status monitoring of fleet assets, while geofencing verifies route and area adherence (Victor, 2025; Brits &amp; </w:t>
            </w:r>
            <w:proofErr w:type="spellStart"/>
            <w:r w:rsidRPr="001102EB">
              <w:rPr>
                <w:rFonts w:ascii="Times New Roman" w:hAnsi="Times New Roman" w:cs="Times New Roman"/>
                <w:sz w:val="22"/>
                <w:szCs w:val="22"/>
              </w:rPr>
              <w:t>Waiyaki</w:t>
            </w:r>
            <w:proofErr w:type="spellEnd"/>
            <w:r w:rsidRPr="001102EB">
              <w:rPr>
                <w:rFonts w:ascii="Times New Roman" w:hAnsi="Times New Roman" w:cs="Times New Roman"/>
                <w:sz w:val="22"/>
                <w:szCs w:val="22"/>
              </w:rPr>
              <w:t xml:space="preserve">, 2015; </w:t>
            </w:r>
            <w:proofErr w:type="spellStart"/>
            <w:r w:rsidRPr="001102EB">
              <w:rPr>
                <w:rFonts w:ascii="Times New Roman" w:hAnsi="Times New Roman" w:cs="Times New Roman"/>
                <w:sz w:val="22"/>
                <w:szCs w:val="22"/>
              </w:rPr>
              <w:t>Charanaraj</w:t>
            </w:r>
            <w:proofErr w:type="spellEnd"/>
            <w:r w:rsidRPr="001102EB">
              <w:rPr>
                <w:rFonts w:ascii="Times New Roman" w:hAnsi="Times New Roman" w:cs="Times New Roman"/>
                <w:sz w:val="22"/>
                <w:szCs w:val="22"/>
              </w:rPr>
              <w:t xml:space="preserve"> et al., 2019; </w:t>
            </w:r>
            <w:proofErr w:type="spellStart"/>
            <w:r w:rsidRPr="001102EB">
              <w:rPr>
                <w:rFonts w:ascii="Times New Roman" w:hAnsi="Times New Roman" w:cs="Times New Roman"/>
                <w:sz w:val="22"/>
                <w:szCs w:val="22"/>
              </w:rPr>
              <w:t>Heinbach</w:t>
            </w:r>
            <w:proofErr w:type="spellEnd"/>
            <w:r w:rsidRPr="001102EB">
              <w:rPr>
                <w:rFonts w:ascii="Times New Roman" w:hAnsi="Times New Roman" w:cs="Times New Roman"/>
                <w:sz w:val="22"/>
                <w:szCs w:val="22"/>
              </w:rPr>
              <w:t xml:space="preserve"> et al., 2022).</w:t>
            </w:r>
          </w:p>
        </w:tc>
        <w:tc>
          <w:tcPr>
            <w:tcW w:w="165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8703A2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Strong</w:t>
            </w:r>
          </w:p>
        </w:tc>
      </w:tr>
      <w:tr w:rsidR="00121769" w:rsidRPr="001102EB" w14:paraId="6CE1DFE9" w14:textId="77777777">
        <w:tc>
          <w:tcPr>
            <w:tcW w:w="205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7228E1B"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Arrival–dwell–departure lifecycle</w:t>
            </w:r>
          </w:p>
        </w:tc>
        <w:tc>
          <w:tcPr>
            <w:tcW w:w="53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3B27D38"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Fleet systems automatically generate trip timestamps and event states that can anchor dwell-state logic; corridor and port studies identify separable waiting, transit and delay states that can be measured operationally (</w:t>
            </w:r>
            <w:proofErr w:type="spellStart"/>
            <w:r w:rsidRPr="001102EB">
              <w:rPr>
                <w:rFonts w:ascii="Times New Roman" w:hAnsi="Times New Roman" w:cs="Times New Roman"/>
                <w:sz w:val="22"/>
                <w:szCs w:val="22"/>
              </w:rPr>
              <w:t>Charanaraj</w:t>
            </w:r>
            <w:proofErr w:type="spellEnd"/>
            <w:r w:rsidRPr="001102EB">
              <w:rPr>
                <w:rFonts w:ascii="Times New Roman" w:hAnsi="Times New Roman" w:cs="Times New Roman"/>
                <w:sz w:val="22"/>
                <w:szCs w:val="22"/>
              </w:rPr>
              <w:t xml:space="preserve"> et al., 2019; </w:t>
            </w:r>
            <w:proofErr w:type="spellStart"/>
            <w:r w:rsidRPr="001102EB">
              <w:rPr>
                <w:rFonts w:ascii="Times New Roman" w:hAnsi="Times New Roman" w:cs="Times New Roman"/>
                <w:sz w:val="22"/>
                <w:szCs w:val="22"/>
              </w:rPr>
              <w:t>Kunambi</w:t>
            </w:r>
            <w:proofErr w:type="spellEnd"/>
            <w:r w:rsidRPr="001102EB">
              <w:rPr>
                <w:rFonts w:ascii="Times New Roman" w:hAnsi="Times New Roman" w:cs="Times New Roman"/>
                <w:sz w:val="22"/>
                <w:szCs w:val="22"/>
              </w:rPr>
              <w:t xml:space="preserve"> &amp; Zheng, 2025).</w:t>
            </w:r>
          </w:p>
        </w:tc>
        <w:tc>
          <w:tcPr>
            <w:tcW w:w="165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17ABE4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Strong</w:t>
            </w:r>
          </w:p>
        </w:tc>
      </w:tr>
      <w:tr w:rsidR="00121769" w:rsidRPr="001102EB" w14:paraId="78F02896" w14:textId="77777777">
        <w:tc>
          <w:tcPr>
            <w:tcW w:w="205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057EA1A"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Delay-to-cost translation</w:t>
            </w:r>
          </w:p>
        </w:tc>
        <w:tc>
          <w:tcPr>
            <w:tcW w:w="53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7BCB60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Total economic cost models show that delays and delay variability create substantial indirect costs beyond freight charges and materially affect corridor competitiveness (Hoffman et al., 2023).</w:t>
            </w:r>
          </w:p>
        </w:tc>
        <w:tc>
          <w:tcPr>
            <w:tcW w:w="165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DA0B29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Strong</w:t>
            </w:r>
          </w:p>
        </w:tc>
      </w:tr>
      <w:tr w:rsidR="00121769" w:rsidRPr="001102EB" w14:paraId="4F9E74FD" w14:textId="77777777">
        <w:tc>
          <w:tcPr>
            <w:tcW w:w="205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0520B9D"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Shared corridor dashboard</w:t>
            </w:r>
          </w:p>
        </w:tc>
        <w:tc>
          <w:tcPr>
            <w:tcW w:w="53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6944918"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Freight intelligence platforms can combine analytics, anomaly detection, risk assessment, data exchange and cross-stakeholder integration; </w:t>
            </w:r>
            <w:proofErr w:type="spellStart"/>
            <w:r w:rsidRPr="001102EB">
              <w:rPr>
                <w:rFonts w:ascii="Times New Roman" w:hAnsi="Times New Roman" w:cs="Times New Roman"/>
                <w:sz w:val="22"/>
                <w:szCs w:val="22"/>
              </w:rPr>
              <w:t>centralised</w:t>
            </w:r>
            <w:proofErr w:type="spellEnd"/>
            <w:r w:rsidRPr="001102EB">
              <w:rPr>
                <w:rFonts w:ascii="Times New Roman" w:hAnsi="Times New Roman" w:cs="Times New Roman"/>
                <w:sz w:val="22"/>
                <w:szCs w:val="22"/>
              </w:rPr>
              <w:t xml:space="preserve"> tracking improves visibility across carriers, forwarders and service recipients (</w:t>
            </w:r>
            <w:proofErr w:type="spellStart"/>
            <w:r w:rsidRPr="001102EB">
              <w:rPr>
                <w:rFonts w:ascii="Times New Roman" w:hAnsi="Times New Roman" w:cs="Times New Roman"/>
                <w:sz w:val="22"/>
                <w:szCs w:val="22"/>
              </w:rPr>
              <w:t>Heinbach</w:t>
            </w:r>
            <w:proofErr w:type="spellEnd"/>
            <w:r w:rsidRPr="001102EB">
              <w:rPr>
                <w:rFonts w:ascii="Times New Roman" w:hAnsi="Times New Roman" w:cs="Times New Roman"/>
                <w:sz w:val="22"/>
                <w:szCs w:val="22"/>
              </w:rPr>
              <w:t xml:space="preserve"> et al., 2022; </w:t>
            </w:r>
            <w:proofErr w:type="spellStart"/>
            <w:r w:rsidRPr="001102EB">
              <w:rPr>
                <w:rFonts w:ascii="Times New Roman" w:hAnsi="Times New Roman" w:cs="Times New Roman"/>
                <w:sz w:val="22"/>
                <w:szCs w:val="22"/>
              </w:rPr>
              <w:t>Huk</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Kurowski</w:t>
            </w:r>
            <w:proofErr w:type="spellEnd"/>
            <w:r w:rsidRPr="001102EB">
              <w:rPr>
                <w:rFonts w:ascii="Times New Roman" w:hAnsi="Times New Roman" w:cs="Times New Roman"/>
                <w:sz w:val="22"/>
                <w:szCs w:val="22"/>
              </w:rPr>
              <w:t xml:space="preserve">, 2021; </w:t>
            </w: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2025).</w:t>
            </w:r>
          </w:p>
        </w:tc>
        <w:tc>
          <w:tcPr>
            <w:tcW w:w="165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1C50D5D"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Strong</w:t>
            </w:r>
          </w:p>
        </w:tc>
      </w:tr>
      <w:tr w:rsidR="00121769" w:rsidRPr="001102EB" w14:paraId="54F2362A" w14:textId="77777777">
        <w:tc>
          <w:tcPr>
            <w:tcW w:w="205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CFADD56"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 xml:space="preserve">Workflow </w:t>
            </w:r>
            <w:proofErr w:type="spellStart"/>
            <w:r w:rsidRPr="001102EB">
              <w:rPr>
                <w:rFonts w:ascii="Times New Roman" w:hAnsi="Times New Roman" w:cs="Times New Roman"/>
                <w:b/>
                <w:bCs/>
                <w:color w:val="0B3C49"/>
                <w:sz w:val="22"/>
                <w:szCs w:val="22"/>
              </w:rPr>
              <w:t>digitisation</w:t>
            </w:r>
            <w:proofErr w:type="spellEnd"/>
          </w:p>
        </w:tc>
        <w:tc>
          <w:tcPr>
            <w:tcW w:w="53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F09F46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East African freight forwarding still relies on paper-based and offline processes that are slow, error-prone and costly; digital freight platforms reduce interface complexity through automation (Mary &amp; </w:t>
            </w:r>
            <w:proofErr w:type="spellStart"/>
            <w:r w:rsidRPr="001102EB">
              <w:rPr>
                <w:rFonts w:ascii="Times New Roman" w:hAnsi="Times New Roman" w:cs="Times New Roman"/>
                <w:sz w:val="22"/>
                <w:szCs w:val="22"/>
              </w:rPr>
              <w:t>Mayengo</w:t>
            </w:r>
            <w:proofErr w:type="spellEnd"/>
            <w:r w:rsidRPr="001102EB">
              <w:rPr>
                <w:rFonts w:ascii="Times New Roman" w:hAnsi="Times New Roman" w:cs="Times New Roman"/>
                <w:sz w:val="22"/>
                <w:szCs w:val="22"/>
              </w:rPr>
              <w:t xml:space="preserve">, 2023; </w:t>
            </w:r>
            <w:proofErr w:type="spellStart"/>
            <w:r w:rsidRPr="001102EB">
              <w:rPr>
                <w:rFonts w:ascii="Times New Roman" w:hAnsi="Times New Roman" w:cs="Times New Roman"/>
                <w:sz w:val="22"/>
                <w:szCs w:val="22"/>
              </w:rPr>
              <w:t>Bossong</w:t>
            </w:r>
            <w:proofErr w:type="spellEnd"/>
            <w:r w:rsidRPr="001102EB">
              <w:rPr>
                <w:rFonts w:ascii="Times New Roman" w:hAnsi="Times New Roman" w:cs="Times New Roman"/>
                <w:sz w:val="22"/>
                <w:szCs w:val="22"/>
              </w:rPr>
              <w:t xml:space="preserve"> et al., 2025).</w:t>
            </w:r>
          </w:p>
        </w:tc>
        <w:tc>
          <w:tcPr>
            <w:tcW w:w="165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BF1C3D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Moderate to strong</w:t>
            </w:r>
          </w:p>
        </w:tc>
      </w:tr>
      <w:tr w:rsidR="00121769" w:rsidRPr="001102EB" w14:paraId="36896BB7" w14:textId="77777777">
        <w:tc>
          <w:tcPr>
            <w:tcW w:w="205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B14D228"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Predictive delay analytics</w:t>
            </w:r>
          </w:p>
        </w:tc>
        <w:tc>
          <w:tcPr>
            <w:tcW w:w="53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8CF2DC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Modelling frameworks can predict waiting, transit, congestion and reliability patterns and </w:t>
            </w:r>
            <w:proofErr w:type="spellStart"/>
            <w:r w:rsidRPr="001102EB">
              <w:rPr>
                <w:rFonts w:ascii="Times New Roman" w:hAnsi="Times New Roman" w:cs="Times New Roman"/>
                <w:sz w:val="22"/>
                <w:szCs w:val="22"/>
              </w:rPr>
              <w:t>optimise</w:t>
            </w:r>
            <w:proofErr w:type="spellEnd"/>
            <w:r w:rsidRPr="001102EB">
              <w:rPr>
                <w:rFonts w:ascii="Times New Roman" w:hAnsi="Times New Roman" w:cs="Times New Roman"/>
                <w:sz w:val="22"/>
                <w:szCs w:val="22"/>
              </w:rPr>
              <w:t xml:space="preserve"> resource allocation, but the evidence is less corridor-specific than for tracking (</w:t>
            </w:r>
            <w:proofErr w:type="spellStart"/>
            <w:r w:rsidRPr="001102EB">
              <w:rPr>
                <w:rFonts w:ascii="Times New Roman" w:hAnsi="Times New Roman" w:cs="Times New Roman"/>
                <w:sz w:val="22"/>
                <w:szCs w:val="22"/>
              </w:rPr>
              <w:t>Kunambi</w:t>
            </w:r>
            <w:proofErr w:type="spellEnd"/>
            <w:r w:rsidRPr="001102EB">
              <w:rPr>
                <w:rFonts w:ascii="Times New Roman" w:hAnsi="Times New Roman" w:cs="Times New Roman"/>
                <w:sz w:val="22"/>
                <w:szCs w:val="22"/>
              </w:rPr>
              <w:t xml:space="preserve"> &amp; Zheng, 2025; Ibrahim et al., 2025).</w:t>
            </w:r>
          </w:p>
        </w:tc>
        <w:tc>
          <w:tcPr>
            <w:tcW w:w="165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F1B5499"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Moderate</w:t>
            </w:r>
          </w:p>
        </w:tc>
      </w:tr>
    </w:tbl>
    <w:p w14:paraId="50F6282B" w14:textId="77777777" w:rsidR="00121769" w:rsidRPr="001102EB" w:rsidRDefault="00000000">
      <w:pPr>
        <w:spacing w:before="120" w:after="260"/>
        <w:rPr>
          <w:rFonts w:ascii="Times New Roman" w:hAnsi="Times New Roman" w:cs="Times New Roman"/>
          <w:sz w:val="22"/>
          <w:szCs w:val="22"/>
        </w:rPr>
      </w:pPr>
      <w:r w:rsidRPr="001102EB">
        <w:rPr>
          <w:rFonts w:ascii="Times New Roman" w:hAnsi="Times New Roman" w:cs="Times New Roman"/>
          <w:i/>
          <w:iCs/>
          <w:color w:val="596A73"/>
          <w:sz w:val="22"/>
          <w:szCs w:val="22"/>
        </w:rPr>
        <w:t>Table 2.  Research support for Turnaround’s core product modules.</w:t>
      </w:r>
    </w:p>
    <w:p w14:paraId="0E6FC78D" w14:textId="77777777" w:rsidR="00121769" w:rsidRPr="001102EB" w:rsidRDefault="00000000">
      <w:pPr>
        <w:rPr>
          <w:rFonts w:ascii="Times New Roman" w:hAnsi="Times New Roman" w:cs="Times New Roman"/>
          <w:sz w:val="22"/>
          <w:szCs w:val="22"/>
        </w:rPr>
      </w:pPr>
      <w:r w:rsidRPr="001102EB">
        <w:rPr>
          <w:rFonts w:ascii="Times New Roman" w:hAnsi="Times New Roman" w:cs="Times New Roman"/>
          <w:sz w:val="22"/>
          <w:szCs w:val="22"/>
        </w:rPr>
        <w:br w:type="page"/>
      </w:r>
    </w:p>
    <w:p w14:paraId="71471C19" w14:textId="77777777" w:rsidR="00121769" w:rsidRPr="001102EB" w:rsidRDefault="00000000">
      <w:pPr>
        <w:pStyle w:val="Heading1"/>
        <w:rPr>
          <w:rFonts w:ascii="Times New Roman" w:hAnsi="Times New Roman" w:cs="Times New Roman"/>
          <w:sz w:val="22"/>
          <w:szCs w:val="22"/>
        </w:rPr>
      </w:pPr>
      <w:bookmarkStart w:id="13" w:name="_Toc240747755"/>
      <w:r w:rsidRPr="001102EB">
        <w:rPr>
          <w:rFonts w:ascii="Times New Roman" w:hAnsi="Times New Roman" w:cs="Times New Roman"/>
          <w:sz w:val="22"/>
          <w:szCs w:val="22"/>
        </w:rPr>
        <w:lastRenderedPageBreak/>
        <w:t>6.  Operational and Market Evidence</w:t>
      </w:r>
      <w:bookmarkEnd w:id="13"/>
    </w:p>
    <w:p w14:paraId="500DEDE8" w14:textId="2ADFAC71" w:rsidR="00121769" w:rsidRPr="001102EB" w:rsidRDefault="00000000">
      <w:pPr>
        <w:pStyle w:val="Heading2"/>
        <w:rPr>
          <w:rFonts w:ascii="Times New Roman" w:hAnsi="Times New Roman" w:cs="Times New Roman"/>
          <w:sz w:val="22"/>
          <w:szCs w:val="22"/>
        </w:rPr>
      </w:pPr>
      <w:bookmarkStart w:id="14" w:name="_Toc240747756"/>
      <w:r w:rsidRPr="001102EB">
        <w:rPr>
          <w:rFonts w:ascii="Times New Roman" w:hAnsi="Times New Roman" w:cs="Times New Roman"/>
          <w:sz w:val="22"/>
          <w:szCs w:val="22"/>
        </w:rPr>
        <w:t>6.1 Digital logistics adoption produces measurable gains</w:t>
      </w:r>
      <w:bookmarkEnd w:id="14"/>
    </w:p>
    <w:p w14:paraId="416CBCD1"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Digital logistics adoption in East Africa is associated with </w:t>
      </w:r>
      <w:r w:rsidRPr="001102EB">
        <w:rPr>
          <w:rFonts w:ascii="Times New Roman" w:hAnsi="Times New Roman" w:cs="Times New Roman"/>
          <w:b/>
          <w:bCs/>
          <w:sz w:val="22"/>
          <w:szCs w:val="22"/>
        </w:rPr>
        <w:t>4.12 fewer customs hours, 1.25 fewer port dwell days and 3.15 fewer transit days</w:t>
      </w:r>
      <w:r w:rsidRPr="001102EB">
        <w:rPr>
          <w:rFonts w:ascii="Times New Roman" w:hAnsi="Times New Roman" w:cs="Times New Roman"/>
          <w:sz w:val="22"/>
          <w:szCs w:val="22"/>
        </w:rPr>
        <w:t xml:space="preserve"> where systems are reliably used, although these benefits weaken sharply when uptime and interoperability are poor (Raphael, 2025). Port-to-ICD coordination tools such as slot booking and port community systems can reduce gate queues and truck waiting without major capital expansion (</w:t>
      </w: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xml:space="preserve">, 2025). At the </w:t>
      </w:r>
      <w:proofErr w:type="gramStart"/>
      <w:r w:rsidRPr="001102EB">
        <w:rPr>
          <w:rFonts w:ascii="Times New Roman" w:hAnsi="Times New Roman" w:cs="Times New Roman"/>
          <w:sz w:val="22"/>
          <w:szCs w:val="22"/>
        </w:rPr>
        <w:t>EX NASACO ICD</w:t>
      </w:r>
      <w:proofErr w:type="gramEnd"/>
      <w:r w:rsidRPr="001102EB">
        <w:rPr>
          <w:rFonts w:ascii="Times New Roman" w:hAnsi="Times New Roman" w:cs="Times New Roman"/>
          <w:sz w:val="22"/>
          <w:szCs w:val="22"/>
        </w:rPr>
        <w:t xml:space="preserve"> in Tanzania, each one-point increase in perceived logistical inefficiency added approximately </w:t>
      </w:r>
      <w:r w:rsidRPr="001102EB">
        <w:rPr>
          <w:rFonts w:ascii="Times New Roman" w:hAnsi="Times New Roman" w:cs="Times New Roman"/>
          <w:b/>
          <w:bCs/>
          <w:sz w:val="22"/>
          <w:szCs w:val="22"/>
        </w:rPr>
        <w:t>0.28 days</w:t>
      </w:r>
      <w:r w:rsidRPr="001102EB">
        <w:rPr>
          <w:rFonts w:ascii="Times New Roman" w:hAnsi="Times New Roman" w:cs="Times New Roman"/>
          <w:sz w:val="22"/>
          <w:szCs w:val="22"/>
        </w:rPr>
        <w:t xml:space="preserve"> to dwell time, linking coordination quality directly to clearance delay (</w:t>
      </w: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2025).</w:t>
      </w:r>
    </w:p>
    <w:p w14:paraId="0394681C" w14:textId="62C39BC2"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A customs</w:t>
      </w:r>
      <w:r w:rsidR="00F73FD0">
        <w:rPr>
          <w:rFonts w:ascii="Times New Roman" w:hAnsi="Times New Roman" w:cs="Times New Roman"/>
          <w:sz w:val="22"/>
          <w:szCs w:val="22"/>
        </w:rPr>
        <w:t>-</w:t>
      </w:r>
      <w:r w:rsidRPr="001102EB">
        <w:rPr>
          <w:rFonts w:ascii="Times New Roman" w:hAnsi="Times New Roman" w:cs="Times New Roman"/>
          <w:sz w:val="22"/>
          <w:szCs w:val="22"/>
        </w:rPr>
        <w:t>telematics simulation in Southern Africa estimated that combining analytics with telematics could reduce cross-border delays by roughly one day on average, and by 80</w:t>
      </w:r>
      <w:r w:rsidR="00F73FD0">
        <w:rPr>
          <w:rFonts w:ascii="Times New Roman" w:hAnsi="Times New Roman" w:cs="Times New Roman"/>
          <w:sz w:val="22"/>
          <w:szCs w:val="22"/>
        </w:rPr>
        <w:t>-</w:t>
      </w:r>
      <w:r w:rsidRPr="001102EB">
        <w:rPr>
          <w:rFonts w:ascii="Times New Roman" w:hAnsi="Times New Roman" w:cs="Times New Roman"/>
          <w:sz w:val="22"/>
          <w:szCs w:val="22"/>
        </w:rPr>
        <w:t>90% in some specific workflows, while improving compliance rather than weakening it (Hoffman et al., 2016). This is an important result for Turnaround’s positioning: visibility and compliance are complements, not trade-offs, which lowers the political cost of adoption among regulatory stakeholders.</w:t>
      </w:r>
    </w:p>
    <w:p w14:paraId="6F6AA6E7" w14:textId="053B4C5E" w:rsidR="00121769" w:rsidRPr="001102EB" w:rsidRDefault="00000000">
      <w:pPr>
        <w:pStyle w:val="Heading2"/>
        <w:rPr>
          <w:rFonts w:ascii="Times New Roman" w:hAnsi="Times New Roman" w:cs="Times New Roman"/>
          <w:sz w:val="22"/>
          <w:szCs w:val="22"/>
        </w:rPr>
      </w:pPr>
      <w:bookmarkStart w:id="15" w:name="_Toc240747757"/>
      <w:r w:rsidRPr="001102EB">
        <w:rPr>
          <w:rFonts w:ascii="Times New Roman" w:hAnsi="Times New Roman" w:cs="Times New Roman"/>
          <w:sz w:val="22"/>
          <w:szCs w:val="22"/>
        </w:rPr>
        <w:t>6.2 Fleet telematics is associated with better transporter performance</w:t>
      </w:r>
      <w:bookmarkEnd w:id="15"/>
    </w:p>
    <w:p w14:paraId="6991D69D"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In Mombasa County, vehicle tracking significantly improved transporter operational performance, with route management, speed monitoring and real-time dispatch tracking identified as the key contributors (Kinyua et al., 2024). Tanzanian government-vehicle evidence is directionally similar, with digital tracking showing a positive and significant effect on operational performance (Mohamed &amp; </w:t>
      </w:r>
      <w:proofErr w:type="spellStart"/>
      <w:r w:rsidRPr="001102EB">
        <w:rPr>
          <w:rFonts w:ascii="Times New Roman" w:hAnsi="Times New Roman" w:cs="Times New Roman"/>
          <w:sz w:val="22"/>
          <w:szCs w:val="22"/>
        </w:rPr>
        <w:t>Runyoro</w:t>
      </w:r>
      <w:proofErr w:type="spellEnd"/>
      <w:r w:rsidRPr="001102EB">
        <w:rPr>
          <w:rFonts w:ascii="Times New Roman" w:hAnsi="Times New Roman" w:cs="Times New Roman"/>
          <w:sz w:val="22"/>
          <w:szCs w:val="22"/>
        </w:rPr>
        <w:t xml:space="preserve">, 2025). More broadly, telematics integrates GPS, diagnostics, sensors and communications to support route </w:t>
      </w:r>
      <w:proofErr w:type="spellStart"/>
      <w:r w:rsidRPr="001102EB">
        <w:rPr>
          <w:rFonts w:ascii="Times New Roman" w:hAnsi="Times New Roman" w:cs="Times New Roman"/>
          <w:sz w:val="22"/>
          <w:szCs w:val="22"/>
        </w:rPr>
        <w:t>optimisation</w:t>
      </w:r>
      <w:proofErr w:type="spellEnd"/>
      <w:r w:rsidRPr="001102EB">
        <w:rPr>
          <w:rFonts w:ascii="Times New Roman" w:hAnsi="Times New Roman" w:cs="Times New Roman"/>
          <w:sz w:val="22"/>
          <w:szCs w:val="22"/>
        </w:rPr>
        <w:t xml:space="preserve">, driver management, maintenance, safety and cost control (Victor, 2025; Brits &amp; </w:t>
      </w:r>
      <w:proofErr w:type="spellStart"/>
      <w:r w:rsidRPr="001102EB">
        <w:rPr>
          <w:rFonts w:ascii="Times New Roman" w:hAnsi="Times New Roman" w:cs="Times New Roman"/>
          <w:sz w:val="22"/>
          <w:szCs w:val="22"/>
        </w:rPr>
        <w:t>Waiyaki</w:t>
      </w:r>
      <w:proofErr w:type="spellEnd"/>
      <w:r w:rsidRPr="001102EB">
        <w:rPr>
          <w:rFonts w:ascii="Times New Roman" w:hAnsi="Times New Roman" w:cs="Times New Roman"/>
          <w:sz w:val="22"/>
          <w:szCs w:val="22"/>
        </w:rPr>
        <w:t xml:space="preserve">, 2015). Advanced platforms use real-time routing and virtual boundaries to reduce travel time, fuel cost and </w:t>
      </w:r>
      <w:proofErr w:type="spellStart"/>
      <w:r w:rsidRPr="001102EB">
        <w:rPr>
          <w:rFonts w:ascii="Times New Roman" w:hAnsi="Times New Roman" w:cs="Times New Roman"/>
          <w:sz w:val="22"/>
          <w:szCs w:val="22"/>
        </w:rPr>
        <w:t>unauthorised</w:t>
      </w:r>
      <w:proofErr w:type="spellEnd"/>
      <w:r w:rsidRPr="001102EB">
        <w:rPr>
          <w:rFonts w:ascii="Times New Roman" w:hAnsi="Times New Roman" w:cs="Times New Roman"/>
          <w:sz w:val="22"/>
          <w:szCs w:val="22"/>
        </w:rPr>
        <w:t xml:space="preserve"> route deviation (Victor, 2025).</w:t>
      </w:r>
    </w:p>
    <w:p w14:paraId="1AE3380D" w14:textId="77777777" w:rsidR="00121769" w:rsidRPr="001102EB" w:rsidRDefault="00000000">
      <w:pPr>
        <w:pStyle w:val="BodyText"/>
        <w:rPr>
          <w:rFonts w:ascii="Times New Roman" w:hAnsi="Times New Roman" w:cs="Times New Roman"/>
          <w:sz w:val="22"/>
          <w:szCs w:val="22"/>
        </w:rPr>
      </w:pPr>
      <w:proofErr w:type="spellStart"/>
      <w:r w:rsidRPr="001102EB">
        <w:rPr>
          <w:rFonts w:ascii="Times New Roman" w:hAnsi="Times New Roman" w:cs="Times New Roman"/>
          <w:sz w:val="22"/>
          <w:szCs w:val="22"/>
        </w:rPr>
        <w:t>Centralised</w:t>
      </w:r>
      <w:proofErr w:type="spellEnd"/>
      <w:r w:rsidRPr="001102EB">
        <w:rPr>
          <w:rFonts w:ascii="Times New Roman" w:hAnsi="Times New Roman" w:cs="Times New Roman"/>
          <w:sz w:val="22"/>
          <w:szCs w:val="22"/>
        </w:rPr>
        <w:t xml:space="preserve"> visibility is a recurring market need in its own right, because multiple actors resell or subcontract transport services and therefore require a uniform tracking layer rather than isolated point tools (</w:t>
      </w:r>
      <w:proofErr w:type="spellStart"/>
      <w:r w:rsidRPr="001102EB">
        <w:rPr>
          <w:rFonts w:ascii="Times New Roman" w:hAnsi="Times New Roman" w:cs="Times New Roman"/>
          <w:sz w:val="22"/>
          <w:szCs w:val="22"/>
        </w:rPr>
        <w:t>Huk</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Kurowski</w:t>
      </w:r>
      <w:proofErr w:type="spellEnd"/>
      <w:r w:rsidRPr="001102EB">
        <w:rPr>
          <w:rFonts w:ascii="Times New Roman" w:hAnsi="Times New Roman" w:cs="Times New Roman"/>
          <w:sz w:val="22"/>
          <w:szCs w:val="22"/>
        </w:rPr>
        <w:t>, 2021).</w:t>
      </w:r>
    </w:p>
    <w:p w14:paraId="19EA1D99" w14:textId="5882A2B7" w:rsidR="00121769" w:rsidRPr="001102EB" w:rsidRDefault="00000000">
      <w:pPr>
        <w:pStyle w:val="Heading2"/>
        <w:rPr>
          <w:rFonts w:ascii="Times New Roman" w:hAnsi="Times New Roman" w:cs="Times New Roman"/>
          <w:sz w:val="22"/>
          <w:szCs w:val="22"/>
        </w:rPr>
      </w:pPr>
      <w:bookmarkStart w:id="16" w:name="_Toc240747758"/>
      <w:r w:rsidRPr="001102EB">
        <w:rPr>
          <w:rFonts w:ascii="Times New Roman" w:hAnsi="Times New Roman" w:cs="Times New Roman"/>
          <w:sz w:val="22"/>
          <w:szCs w:val="22"/>
        </w:rPr>
        <w:t>6.3 Manual and hybrid workflows remain common</w:t>
      </w:r>
      <w:bookmarkEnd w:id="16"/>
    </w:p>
    <w:p w14:paraId="457E2603" w14:textId="60820642"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East African freight forwarding still relies heavily on paper-based and offline processes that are slow, error-prone and costly (Mary &amp; </w:t>
      </w:r>
      <w:proofErr w:type="spellStart"/>
      <w:r w:rsidRPr="001102EB">
        <w:rPr>
          <w:rFonts w:ascii="Times New Roman" w:hAnsi="Times New Roman" w:cs="Times New Roman"/>
          <w:sz w:val="22"/>
          <w:szCs w:val="22"/>
        </w:rPr>
        <w:t>Mayengo</w:t>
      </w:r>
      <w:proofErr w:type="spellEnd"/>
      <w:r w:rsidRPr="001102EB">
        <w:rPr>
          <w:rFonts w:ascii="Times New Roman" w:hAnsi="Times New Roman" w:cs="Times New Roman"/>
          <w:sz w:val="22"/>
          <w:szCs w:val="22"/>
        </w:rPr>
        <w:t>, 2023), and manual documentation continues to produce errors, delays, penalties and poor service quality in customs clearance (Ibrahim et al., 2025). Digital freight platforms can reduce interface complexity through automation, but adoption is shaped by competing incentives around transparency and standardi</w:t>
      </w:r>
      <w:r w:rsidR="006F1C2A">
        <w:rPr>
          <w:rFonts w:ascii="Times New Roman" w:hAnsi="Times New Roman" w:cs="Times New Roman"/>
          <w:sz w:val="22"/>
          <w:szCs w:val="22"/>
        </w:rPr>
        <w:t>z</w:t>
      </w:r>
      <w:r w:rsidRPr="001102EB">
        <w:rPr>
          <w:rFonts w:ascii="Times New Roman" w:hAnsi="Times New Roman" w:cs="Times New Roman"/>
          <w:sz w:val="22"/>
          <w:szCs w:val="22"/>
        </w:rPr>
        <w:t>ation some actors benefit commercially from opacity (</w:t>
      </w:r>
      <w:proofErr w:type="spellStart"/>
      <w:r w:rsidRPr="001102EB">
        <w:rPr>
          <w:rFonts w:ascii="Times New Roman" w:hAnsi="Times New Roman" w:cs="Times New Roman"/>
          <w:sz w:val="22"/>
          <w:szCs w:val="22"/>
        </w:rPr>
        <w:t>Bossong</w:t>
      </w:r>
      <w:proofErr w:type="spellEnd"/>
      <w:r w:rsidRPr="001102EB">
        <w:rPr>
          <w:rFonts w:ascii="Times New Roman" w:hAnsi="Times New Roman" w:cs="Times New Roman"/>
          <w:sz w:val="22"/>
          <w:szCs w:val="22"/>
        </w:rPr>
        <w:t xml:space="preserve"> et al., 2025). This strengthens the case for Turnaround’s workflow layer while cautioning that data-sharing must be designed around incentives, not assumed.</w:t>
      </w:r>
    </w:p>
    <w:p w14:paraId="13851A1C" w14:textId="77777777" w:rsidR="00121769" w:rsidRPr="001102EB" w:rsidRDefault="00121769">
      <w:pPr>
        <w:spacing w:after="40"/>
        <w:rPr>
          <w:rFonts w:ascii="Times New Roman" w:hAnsi="Times New Roman" w:cs="Times New Roman"/>
          <w:sz w:val="22"/>
          <w:szCs w:val="22"/>
        </w:rPr>
      </w:pPr>
    </w:p>
    <w:p w14:paraId="42F870EC" w14:textId="5A969315" w:rsidR="00F73FD0" w:rsidRDefault="00000000" w:rsidP="00DE614E">
      <w:pPr>
        <w:pStyle w:val="BodyText"/>
        <w:numPr>
          <w:ilvl w:val="0"/>
          <w:numId w:val="3"/>
        </w:numPr>
        <w:spacing w:before="40" w:after="100"/>
        <w:rPr>
          <w:rFonts w:ascii="Times New Roman" w:hAnsi="Times New Roman" w:cs="Times New Roman"/>
          <w:sz w:val="22"/>
          <w:szCs w:val="22"/>
        </w:rPr>
      </w:pPr>
      <w:r w:rsidRPr="001102EB">
        <w:rPr>
          <w:rFonts w:ascii="Times New Roman" w:hAnsi="Times New Roman" w:cs="Times New Roman"/>
          <w:b/>
          <w:bCs/>
          <w:color w:val="0B3C49"/>
          <w:sz w:val="22"/>
          <w:szCs w:val="22"/>
        </w:rPr>
        <w:t xml:space="preserve">Regional trucking performance </w:t>
      </w:r>
      <w:r w:rsidRPr="001102EB">
        <w:rPr>
          <w:rFonts w:ascii="Times New Roman" w:hAnsi="Times New Roman" w:cs="Times New Roman"/>
          <w:sz w:val="22"/>
          <w:szCs w:val="22"/>
        </w:rPr>
        <w:t>is an improvement over the status quo, especially on the Northern Corridor, where border facilitation and better fleet management have already raised productivity and lowered long-distance trucking prices (</w:t>
      </w:r>
      <w:proofErr w:type="spellStart"/>
      <w:r w:rsidRPr="001102EB">
        <w:rPr>
          <w:rFonts w:ascii="Times New Roman" w:hAnsi="Times New Roman" w:cs="Times New Roman"/>
          <w:sz w:val="22"/>
          <w:szCs w:val="22"/>
        </w:rPr>
        <w:t>Kunaka</w:t>
      </w:r>
      <w:proofErr w:type="spellEnd"/>
      <w:r w:rsidRPr="001102EB">
        <w:rPr>
          <w:rFonts w:ascii="Times New Roman" w:hAnsi="Times New Roman" w:cs="Times New Roman"/>
          <w:sz w:val="22"/>
          <w:szCs w:val="22"/>
        </w:rPr>
        <w:t xml:space="preserve"> et al., 2016). The direction of travel is </w:t>
      </w:r>
      <w:proofErr w:type="spellStart"/>
      <w:r w:rsidRPr="001102EB">
        <w:rPr>
          <w:rFonts w:ascii="Times New Roman" w:hAnsi="Times New Roman" w:cs="Times New Roman"/>
          <w:sz w:val="22"/>
          <w:szCs w:val="22"/>
        </w:rPr>
        <w:t>favourable</w:t>
      </w:r>
      <w:proofErr w:type="spellEnd"/>
      <w:r w:rsidRPr="001102EB">
        <w:rPr>
          <w:rFonts w:ascii="Times New Roman" w:hAnsi="Times New Roman" w:cs="Times New Roman"/>
          <w:sz w:val="22"/>
          <w:szCs w:val="22"/>
        </w:rPr>
        <w:t>; the coordination layer is what remains missing.</w:t>
      </w:r>
    </w:p>
    <w:p w14:paraId="29C251A3" w14:textId="77777777" w:rsidR="00DE614E" w:rsidRPr="001102EB" w:rsidRDefault="00DE614E" w:rsidP="00DE614E">
      <w:pPr>
        <w:pStyle w:val="Heading1"/>
        <w:rPr>
          <w:rFonts w:ascii="Times New Roman" w:hAnsi="Times New Roman" w:cs="Times New Roman"/>
          <w:sz w:val="22"/>
          <w:szCs w:val="22"/>
        </w:rPr>
      </w:pPr>
      <w:bookmarkStart w:id="17" w:name="_Toc240747759"/>
      <w:r w:rsidRPr="001102EB">
        <w:rPr>
          <w:rFonts w:ascii="Times New Roman" w:hAnsi="Times New Roman" w:cs="Times New Roman"/>
          <w:sz w:val="22"/>
          <w:szCs w:val="22"/>
        </w:rPr>
        <w:lastRenderedPageBreak/>
        <w:t>7.  What the Evidence Says a Solution Must Do</w:t>
      </w:r>
      <w:bookmarkEnd w:id="17"/>
    </w:p>
    <w:p w14:paraId="1EC2AD63" w14:textId="77777777" w:rsidR="00DE614E" w:rsidRPr="001102EB" w:rsidRDefault="00DE614E" w:rsidP="00DE614E">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Telematics can already capture location, movement, trip timestamps and event states in real time (Brits &amp; </w:t>
      </w:r>
      <w:proofErr w:type="spellStart"/>
      <w:r w:rsidRPr="001102EB">
        <w:rPr>
          <w:rFonts w:ascii="Times New Roman" w:hAnsi="Times New Roman" w:cs="Times New Roman"/>
          <w:sz w:val="22"/>
          <w:szCs w:val="22"/>
        </w:rPr>
        <w:t>Waiyaki</w:t>
      </w:r>
      <w:proofErr w:type="spellEnd"/>
      <w:r w:rsidRPr="001102EB">
        <w:rPr>
          <w:rFonts w:ascii="Times New Roman" w:hAnsi="Times New Roman" w:cs="Times New Roman"/>
          <w:sz w:val="22"/>
          <w:szCs w:val="22"/>
        </w:rPr>
        <w:t xml:space="preserve">, 2015; </w:t>
      </w:r>
      <w:proofErr w:type="spellStart"/>
      <w:r w:rsidRPr="001102EB">
        <w:rPr>
          <w:rFonts w:ascii="Times New Roman" w:hAnsi="Times New Roman" w:cs="Times New Roman"/>
          <w:sz w:val="22"/>
          <w:szCs w:val="22"/>
        </w:rPr>
        <w:t>Charanaraj</w:t>
      </w:r>
      <w:proofErr w:type="spellEnd"/>
      <w:r w:rsidRPr="001102EB">
        <w:rPr>
          <w:rFonts w:ascii="Times New Roman" w:hAnsi="Times New Roman" w:cs="Times New Roman"/>
          <w:sz w:val="22"/>
          <w:szCs w:val="22"/>
        </w:rPr>
        <w:t xml:space="preserve"> et al., 2019). The binding constraints therefore sit above the sensing layer. Four requirements follow directly from the evidence.</w:t>
      </w:r>
    </w:p>
    <w:p w14:paraId="2D827A45" w14:textId="77777777" w:rsidR="00DE614E" w:rsidRPr="001102EB" w:rsidRDefault="00DE614E" w:rsidP="00DE614E">
      <w:pPr>
        <w:pStyle w:val="BodyText"/>
        <w:numPr>
          <w:ilvl w:val="0"/>
          <w:numId w:val="3"/>
        </w:numPr>
        <w:spacing w:before="40" w:after="100"/>
        <w:rPr>
          <w:rFonts w:ascii="Times New Roman" w:hAnsi="Times New Roman" w:cs="Times New Roman"/>
          <w:sz w:val="22"/>
          <w:szCs w:val="22"/>
        </w:rPr>
      </w:pPr>
      <w:r w:rsidRPr="001102EB">
        <w:rPr>
          <w:rFonts w:ascii="Times New Roman" w:hAnsi="Times New Roman" w:cs="Times New Roman"/>
          <w:b/>
          <w:bCs/>
          <w:color w:val="0B3C49"/>
          <w:sz w:val="22"/>
          <w:szCs w:val="22"/>
        </w:rPr>
        <w:t>Detect corridor events</w:t>
      </w:r>
      <w:r>
        <w:rPr>
          <w:rFonts w:ascii="Times New Roman" w:hAnsi="Times New Roman" w:cs="Times New Roman"/>
          <w:b/>
          <w:bCs/>
          <w:color w:val="0B3C49"/>
          <w:sz w:val="22"/>
          <w:szCs w:val="22"/>
        </w:rPr>
        <w:t>:</w:t>
      </w:r>
      <w:r w:rsidRPr="001102EB">
        <w:rPr>
          <w:rFonts w:ascii="Times New Roman" w:hAnsi="Times New Roman" w:cs="Times New Roman"/>
          <w:b/>
          <w:bCs/>
          <w:color w:val="0B3C49"/>
          <w:sz w:val="22"/>
          <w:szCs w:val="22"/>
        </w:rPr>
        <w:t xml:space="preserve"> </w:t>
      </w:r>
      <w:r w:rsidRPr="001102EB">
        <w:rPr>
          <w:rFonts w:ascii="Times New Roman" w:hAnsi="Times New Roman" w:cs="Times New Roman"/>
          <w:sz w:val="22"/>
          <w:szCs w:val="22"/>
        </w:rPr>
        <w:t xml:space="preserve">such as arrival, dwell, departure and route deviation, derived from raw GPS streams rather than from manual declaration (Brits &amp; </w:t>
      </w:r>
      <w:proofErr w:type="spellStart"/>
      <w:r w:rsidRPr="001102EB">
        <w:rPr>
          <w:rFonts w:ascii="Times New Roman" w:hAnsi="Times New Roman" w:cs="Times New Roman"/>
          <w:sz w:val="22"/>
          <w:szCs w:val="22"/>
        </w:rPr>
        <w:t>Waiyaki</w:t>
      </w:r>
      <w:proofErr w:type="spellEnd"/>
      <w:r w:rsidRPr="001102EB">
        <w:rPr>
          <w:rFonts w:ascii="Times New Roman" w:hAnsi="Times New Roman" w:cs="Times New Roman"/>
          <w:sz w:val="22"/>
          <w:szCs w:val="22"/>
        </w:rPr>
        <w:t xml:space="preserve">, 2015; </w:t>
      </w:r>
      <w:proofErr w:type="spellStart"/>
      <w:r w:rsidRPr="001102EB">
        <w:rPr>
          <w:rFonts w:ascii="Times New Roman" w:hAnsi="Times New Roman" w:cs="Times New Roman"/>
          <w:sz w:val="22"/>
          <w:szCs w:val="22"/>
        </w:rPr>
        <w:t>Charanaraj</w:t>
      </w:r>
      <w:proofErr w:type="spellEnd"/>
      <w:r w:rsidRPr="001102EB">
        <w:rPr>
          <w:rFonts w:ascii="Times New Roman" w:hAnsi="Times New Roman" w:cs="Times New Roman"/>
          <w:sz w:val="22"/>
          <w:szCs w:val="22"/>
        </w:rPr>
        <w:t xml:space="preserve"> et al., 2019).</w:t>
      </w:r>
    </w:p>
    <w:p w14:paraId="0199719A" w14:textId="77777777" w:rsidR="00DE614E" w:rsidRPr="001102EB" w:rsidRDefault="00DE614E" w:rsidP="00DE614E">
      <w:pPr>
        <w:pStyle w:val="BodyText"/>
        <w:numPr>
          <w:ilvl w:val="0"/>
          <w:numId w:val="3"/>
        </w:numPr>
        <w:spacing w:before="40" w:after="100"/>
        <w:rPr>
          <w:rFonts w:ascii="Times New Roman" w:hAnsi="Times New Roman" w:cs="Times New Roman"/>
          <w:sz w:val="22"/>
          <w:szCs w:val="22"/>
        </w:rPr>
      </w:pPr>
      <w:proofErr w:type="spellStart"/>
      <w:r w:rsidRPr="001102EB">
        <w:rPr>
          <w:rFonts w:ascii="Times New Roman" w:hAnsi="Times New Roman" w:cs="Times New Roman"/>
          <w:b/>
          <w:bCs/>
          <w:color w:val="0B3C49"/>
          <w:sz w:val="22"/>
          <w:szCs w:val="22"/>
        </w:rPr>
        <w:t>Synchronise</w:t>
      </w:r>
      <w:proofErr w:type="spellEnd"/>
      <w:r w:rsidRPr="001102EB">
        <w:rPr>
          <w:rFonts w:ascii="Times New Roman" w:hAnsi="Times New Roman" w:cs="Times New Roman"/>
          <w:b/>
          <w:bCs/>
          <w:color w:val="0B3C49"/>
          <w:sz w:val="22"/>
          <w:szCs w:val="22"/>
        </w:rPr>
        <w:t xml:space="preserve"> actors</w:t>
      </w:r>
      <w:r>
        <w:rPr>
          <w:rFonts w:ascii="Times New Roman" w:hAnsi="Times New Roman" w:cs="Times New Roman"/>
          <w:b/>
          <w:bCs/>
          <w:color w:val="0B3C49"/>
          <w:sz w:val="22"/>
          <w:szCs w:val="22"/>
        </w:rPr>
        <w:t>:</w:t>
      </w:r>
      <w:r w:rsidRPr="001102EB">
        <w:rPr>
          <w:rFonts w:ascii="Times New Roman" w:hAnsi="Times New Roman" w:cs="Times New Roman"/>
          <w:b/>
          <w:bCs/>
          <w:color w:val="0B3C49"/>
          <w:sz w:val="22"/>
          <w:szCs w:val="22"/>
        </w:rPr>
        <w:t xml:space="preserve"> </w:t>
      </w:r>
      <w:r w:rsidRPr="001102EB">
        <w:rPr>
          <w:rFonts w:ascii="Times New Roman" w:hAnsi="Times New Roman" w:cs="Times New Roman"/>
          <w:sz w:val="22"/>
          <w:szCs w:val="22"/>
        </w:rPr>
        <w:t>across ports, ICDs, customs and carriers through shared scheduling and common visibility, because silos and asynchronous uploads are a documented source of clearance delay (</w:t>
      </w: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xml:space="preserve">, 2025; </w:t>
      </w:r>
      <w:proofErr w:type="spellStart"/>
      <w:r w:rsidRPr="001102EB">
        <w:rPr>
          <w:rFonts w:ascii="Times New Roman" w:hAnsi="Times New Roman" w:cs="Times New Roman"/>
          <w:sz w:val="22"/>
          <w:szCs w:val="22"/>
        </w:rPr>
        <w:t>Huk</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Kurowski</w:t>
      </w:r>
      <w:proofErr w:type="spellEnd"/>
      <w:r w:rsidRPr="001102EB">
        <w:rPr>
          <w:rFonts w:ascii="Times New Roman" w:hAnsi="Times New Roman" w:cs="Times New Roman"/>
          <w:sz w:val="22"/>
          <w:szCs w:val="22"/>
        </w:rPr>
        <w:t>, 2021).</w:t>
      </w:r>
    </w:p>
    <w:p w14:paraId="76A7CDD3" w14:textId="77777777" w:rsidR="00DE614E" w:rsidRPr="001102EB" w:rsidRDefault="00DE614E" w:rsidP="00DE614E">
      <w:pPr>
        <w:pStyle w:val="BodyText"/>
        <w:numPr>
          <w:ilvl w:val="0"/>
          <w:numId w:val="3"/>
        </w:numPr>
        <w:spacing w:before="40" w:after="100"/>
        <w:rPr>
          <w:rFonts w:ascii="Times New Roman" w:hAnsi="Times New Roman" w:cs="Times New Roman"/>
          <w:sz w:val="22"/>
          <w:szCs w:val="22"/>
        </w:rPr>
      </w:pPr>
      <w:r w:rsidRPr="001102EB">
        <w:rPr>
          <w:rFonts w:ascii="Times New Roman" w:hAnsi="Times New Roman" w:cs="Times New Roman"/>
          <w:b/>
          <w:bCs/>
          <w:color w:val="0B3C49"/>
          <w:sz w:val="22"/>
          <w:szCs w:val="22"/>
        </w:rPr>
        <w:t>Quantify business impact</w:t>
      </w:r>
      <w:r>
        <w:rPr>
          <w:rFonts w:ascii="Times New Roman" w:hAnsi="Times New Roman" w:cs="Times New Roman"/>
          <w:b/>
          <w:bCs/>
          <w:color w:val="0B3C49"/>
          <w:sz w:val="22"/>
          <w:szCs w:val="22"/>
        </w:rPr>
        <w:t>:</w:t>
      </w:r>
      <w:r w:rsidRPr="001102EB">
        <w:rPr>
          <w:rFonts w:ascii="Times New Roman" w:hAnsi="Times New Roman" w:cs="Times New Roman"/>
          <w:b/>
          <w:bCs/>
          <w:color w:val="0B3C49"/>
          <w:sz w:val="22"/>
          <w:szCs w:val="22"/>
        </w:rPr>
        <w:t xml:space="preserve"> </w:t>
      </w:r>
      <w:r w:rsidRPr="001102EB">
        <w:rPr>
          <w:rFonts w:ascii="Times New Roman" w:hAnsi="Times New Roman" w:cs="Times New Roman"/>
          <w:sz w:val="22"/>
          <w:szCs w:val="22"/>
        </w:rPr>
        <w:t xml:space="preserve">by converting excess dwell into idle cost, demurrage exposure and service risk, which is the step prior corridor studies omitted (Hoffman et al., 2023; </w:t>
      </w:r>
      <w:proofErr w:type="spellStart"/>
      <w:r w:rsidRPr="001102EB">
        <w:rPr>
          <w:rFonts w:ascii="Times New Roman" w:hAnsi="Times New Roman" w:cs="Times New Roman"/>
          <w:sz w:val="22"/>
          <w:szCs w:val="22"/>
        </w:rPr>
        <w:t>Chadenyile</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Kassembe</w:t>
      </w:r>
      <w:proofErr w:type="spellEnd"/>
      <w:r w:rsidRPr="001102EB">
        <w:rPr>
          <w:rFonts w:ascii="Times New Roman" w:hAnsi="Times New Roman" w:cs="Times New Roman"/>
          <w:sz w:val="22"/>
          <w:szCs w:val="22"/>
        </w:rPr>
        <w:t>, 2025; Hoffman et al., 2016).</w:t>
      </w:r>
    </w:p>
    <w:p w14:paraId="4A20DD64" w14:textId="1E1FB5CD" w:rsidR="00DE614E" w:rsidRPr="00DE614E" w:rsidRDefault="00DE614E" w:rsidP="00DE614E">
      <w:pPr>
        <w:pStyle w:val="BodyText"/>
        <w:numPr>
          <w:ilvl w:val="0"/>
          <w:numId w:val="3"/>
        </w:numPr>
        <w:spacing w:before="40" w:after="100"/>
        <w:rPr>
          <w:rFonts w:ascii="Times New Roman" w:hAnsi="Times New Roman" w:cs="Times New Roman"/>
          <w:sz w:val="22"/>
          <w:szCs w:val="22"/>
        </w:rPr>
      </w:pPr>
      <w:r w:rsidRPr="001102EB">
        <w:rPr>
          <w:rFonts w:ascii="Times New Roman" w:hAnsi="Times New Roman" w:cs="Times New Roman"/>
          <w:b/>
          <w:bCs/>
          <w:color w:val="0B3C49"/>
          <w:sz w:val="22"/>
          <w:szCs w:val="22"/>
        </w:rPr>
        <w:t>Support reform, not just monitoring</w:t>
      </w:r>
      <w:r>
        <w:rPr>
          <w:rFonts w:ascii="Times New Roman" w:hAnsi="Times New Roman" w:cs="Times New Roman"/>
          <w:b/>
          <w:bCs/>
          <w:color w:val="0B3C49"/>
          <w:sz w:val="22"/>
          <w:szCs w:val="22"/>
        </w:rPr>
        <w:t>:</w:t>
      </w:r>
      <w:r w:rsidRPr="001102EB">
        <w:rPr>
          <w:rFonts w:ascii="Times New Roman" w:hAnsi="Times New Roman" w:cs="Times New Roman"/>
          <w:b/>
          <w:bCs/>
          <w:color w:val="0B3C49"/>
          <w:sz w:val="22"/>
          <w:szCs w:val="22"/>
        </w:rPr>
        <w:t xml:space="preserve"> </w:t>
      </w:r>
      <w:r w:rsidRPr="001102EB">
        <w:rPr>
          <w:rFonts w:ascii="Times New Roman" w:hAnsi="Times New Roman" w:cs="Times New Roman"/>
          <w:sz w:val="22"/>
          <w:szCs w:val="22"/>
        </w:rPr>
        <w:t xml:space="preserve">because border and customs facilitation improves fleet productivity only when procedures change alongside the technology (Fitzmaurice &amp; Hartmann, 2013; </w:t>
      </w:r>
      <w:proofErr w:type="spellStart"/>
      <w:r w:rsidRPr="001102EB">
        <w:rPr>
          <w:rFonts w:ascii="Times New Roman" w:hAnsi="Times New Roman" w:cs="Times New Roman"/>
          <w:sz w:val="22"/>
          <w:szCs w:val="22"/>
        </w:rPr>
        <w:t>Kunaka</w:t>
      </w:r>
      <w:proofErr w:type="spellEnd"/>
      <w:r w:rsidRPr="001102EB">
        <w:rPr>
          <w:rFonts w:ascii="Times New Roman" w:hAnsi="Times New Roman" w:cs="Times New Roman"/>
          <w:sz w:val="22"/>
          <w:szCs w:val="22"/>
        </w:rPr>
        <w:t xml:space="preserve"> et al., 2016; Ibrahim et al., 2025).</w:t>
      </w:r>
    </w:p>
    <w:p w14:paraId="3B7F0C4F" w14:textId="77777777" w:rsidR="006D5C72" w:rsidRDefault="006D5C72">
      <w:pPr>
        <w:pStyle w:val="Heading1"/>
        <w:rPr>
          <w:rFonts w:ascii="Times New Roman" w:hAnsi="Times New Roman" w:cs="Times New Roman"/>
          <w:sz w:val="22"/>
          <w:szCs w:val="22"/>
        </w:rPr>
      </w:pPr>
      <w:bookmarkStart w:id="18" w:name="_Toc240747760"/>
    </w:p>
    <w:p w14:paraId="11605821" w14:textId="77777777" w:rsidR="006D5C72" w:rsidRDefault="006D5C72">
      <w:pPr>
        <w:pStyle w:val="Heading1"/>
        <w:rPr>
          <w:rFonts w:ascii="Times New Roman" w:hAnsi="Times New Roman" w:cs="Times New Roman"/>
          <w:sz w:val="22"/>
          <w:szCs w:val="22"/>
        </w:rPr>
      </w:pPr>
    </w:p>
    <w:p w14:paraId="7F96ADE3" w14:textId="77777777" w:rsidR="006D5C72" w:rsidRDefault="006D5C72">
      <w:pPr>
        <w:pStyle w:val="Heading1"/>
        <w:rPr>
          <w:rFonts w:ascii="Times New Roman" w:hAnsi="Times New Roman" w:cs="Times New Roman"/>
          <w:sz w:val="22"/>
          <w:szCs w:val="22"/>
        </w:rPr>
      </w:pPr>
    </w:p>
    <w:p w14:paraId="7255AC40" w14:textId="77777777" w:rsidR="006D5C72" w:rsidRDefault="006D5C72">
      <w:pPr>
        <w:pStyle w:val="Heading1"/>
        <w:rPr>
          <w:rFonts w:ascii="Times New Roman" w:hAnsi="Times New Roman" w:cs="Times New Roman"/>
          <w:sz w:val="22"/>
          <w:szCs w:val="22"/>
        </w:rPr>
      </w:pPr>
    </w:p>
    <w:p w14:paraId="230EDCB8" w14:textId="77777777" w:rsidR="006D5C72" w:rsidRDefault="006D5C72">
      <w:pPr>
        <w:pStyle w:val="Heading1"/>
        <w:rPr>
          <w:rFonts w:ascii="Times New Roman" w:hAnsi="Times New Roman" w:cs="Times New Roman"/>
          <w:sz w:val="22"/>
          <w:szCs w:val="22"/>
        </w:rPr>
      </w:pPr>
    </w:p>
    <w:p w14:paraId="18714BBA" w14:textId="77777777" w:rsidR="006D5C72" w:rsidRDefault="006D5C72">
      <w:pPr>
        <w:pStyle w:val="Heading1"/>
        <w:rPr>
          <w:rFonts w:ascii="Times New Roman" w:hAnsi="Times New Roman" w:cs="Times New Roman"/>
          <w:sz w:val="22"/>
          <w:szCs w:val="22"/>
        </w:rPr>
      </w:pPr>
    </w:p>
    <w:p w14:paraId="4C749F8D" w14:textId="77777777" w:rsidR="006D5C72" w:rsidRDefault="006D5C72">
      <w:pPr>
        <w:pStyle w:val="Heading1"/>
        <w:rPr>
          <w:rFonts w:ascii="Times New Roman" w:hAnsi="Times New Roman" w:cs="Times New Roman"/>
          <w:sz w:val="22"/>
          <w:szCs w:val="22"/>
        </w:rPr>
      </w:pPr>
    </w:p>
    <w:p w14:paraId="45B6C54D" w14:textId="77777777" w:rsidR="006D5C72" w:rsidRDefault="006D5C72">
      <w:pPr>
        <w:pStyle w:val="Heading1"/>
        <w:rPr>
          <w:rFonts w:ascii="Times New Roman" w:hAnsi="Times New Roman" w:cs="Times New Roman"/>
          <w:sz w:val="22"/>
          <w:szCs w:val="22"/>
        </w:rPr>
      </w:pPr>
    </w:p>
    <w:p w14:paraId="381907D5" w14:textId="77777777" w:rsidR="006D5C72" w:rsidRDefault="006D5C72">
      <w:pPr>
        <w:pStyle w:val="Heading1"/>
        <w:rPr>
          <w:rFonts w:ascii="Times New Roman" w:hAnsi="Times New Roman" w:cs="Times New Roman"/>
          <w:sz w:val="22"/>
          <w:szCs w:val="22"/>
        </w:rPr>
      </w:pPr>
    </w:p>
    <w:p w14:paraId="5B578952" w14:textId="77777777" w:rsidR="006D5C72" w:rsidRDefault="006D5C72">
      <w:pPr>
        <w:pStyle w:val="Heading1"/>
        <w:rPr>
          <w:rFonts w:ascii="Times New Roman" w:hAnsi="Times New Roman" w:cs="Times New Roman"/>
          <w:sz w:val="22"/>
          <w:szCs w:val="22"/>
        </w:rPr>
      </w:pPr>
    </w:p>
    <w:p w14:paraId="3F270557" w14:textId="77777777" w:rsidR="006D5C72" w:rsidRDefault="006D5C72">
      <w:pPr>
        <w:pStyle w:val="Heading1"/>
        <w:rPr>
          <w:rFonts w:ascii="Times New Roman" w:hAnsi="Times New Roman" w:cs="Times New Roman"/>
          <w:sz w:val="22"/>
          <w:szCs w:val="22"/>
        </w:rPr>
      </w:pPr>
    </w:p>
    <w:p w14:paraId="518A655A" w14:textId="5704A8AE" w:rsidR="00121769" w:rsidRPr="001102EB" w:rsidRDefault="00000000">
      <w:pPr>
        <w:pStyle w:val="Heading1"/>
        <w:rPr>
          <w:rFonts w:ascii="Times New Roman" w:hAnsi="Times New Roman" w:cs="Times New Roman"/>
          <w:sz w:val="22"/>
          <w:szCs w:val="22"/>
        </w:rPr>
      </w:pPr>
      <w:r w:rsidRPr="001102EB">
        <w:rPr>
          <w:rFonts w:ascii="Times New Roman" w:hAnsi="Times New Roman" w:cs="Times New Roman"/>
          <w:sz w:val="22"/>
          <w:szCs w:val="22"/>
        </w:rPr>
        <w:lastRenderedPageBreak/>
        <w:t>8.  Constraints, Adoption Risk and Governance</w:t>
      </w:r>
      <w:bookmarkEnd w:id="18"/>
    </w:p>
    <w:p w14:paraId="455F15FF" w14:textId="77777777" w:rsidR="00121769" w:rsidRPr="001102EB" w:rsidRDefault="00000000" w:rsidP="001102EB">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The biggest risk is not whether Turnaround can detect location events. The bigger risk is whether multiple actors will share data consistently across fragmented corridor institutions (Raphael, 2025; </w:t>
      </w: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2025). East African digital systems still face interoperability gaps, infrastructure limits, network downtime, low digital skills and uneven practical performance (Raphael, 2025). Customs procedures remain a major drag on trade facilitation and explain a large share of observed performance variation at Dar es Salaam (Kaaya, 2026).</w:t>
      </w:r>
    </w:p>
    <w:p w14:paraId="6BDBAB7B" w14:textId="77777777" w:rsidR="00121769" w:rsidRPr="001102EB" w:rsidRDefault="00000000" w:rsidP="001102EB">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Corridor reforms work best when they combine technology with governance and process redesign (Hoffman et al., 2023). Border </w:t>
      </w:r>
      <w:proofErr w:type="spellStart"/>
      <w:r w:rsidRPr="001102EB">
        <w:rPr>
          <w:rFonts w:ascii="Times New Roman" w:hAnsi="Times New Roman" w:cs="Times New Roman"/>
          <w:sz w:val="22"/>
          <w:szCs w:val="22"/>
        </w:rPr>
        <w:t>modernisation</w:t>
      </w:r>
      <w:proofErr w:type="spellEnd"/>
      <w:r w:rsidRPr="001102EB">
        <w:rPr>
          <w:rFonts w:ascii="Times New Roman" w:hAnsi="Times New Roman" w:cs="Times New Roman"/>
          <w:sz w:val="22"/>
          <w:szCs w:val="22"/>
        </w:rPr>
        <w:t xml:space="preserve"> through one-stop border posts helps, but the literature consistently </w:t>
      </w:r>
      <w:proofErr w:type="spellStart"/>
      <w:r w:rsidRPr="001102EB">
        <w:rPr>
          <w:rFonts w:ascii="Times New Roman" w:hAnsi="Times New Roman" w:cs="Times New Roman"/>
          <w:sz w:val="22"/>
          <w:szCs w:val="22"/>
        </w:rPr>
        <w:t>emphasises</w:t>
      </w:r>
      <w:proofErr w:type="spellEnd"/>
      <w:r w:rsidRPr="001102EB">
        <w:rPr>
          <w:rFonts w:ascii="Times New Roman" w:hAnsi="Times New Roman" w:cs="Times New Roman"/>
          <w:sz w:val="22"/>
          <w:szCs w:val="22"/>
        </w:rPr>
        <w:t xml:space="preserve"> coordination, </w:t>
      </w:r>
      <w:proofErr w:type="spellStart"/>
      <w:r w:rsidRPr="001102EB">
        <w:rPr>
          <w:rFonts w:ascii="Times New Roman" w:hAnsi="Times New Roman" w:cs="Times New Roman"/>
          <w:sz w:val="22"/>
          <w:szCs w:val="22"/>
        </w:rPr>
        <w:t>harmonised</w:t>
      </w:r>
      <w:proofErr w:type="spellEnd"/>
      <w:r w:rsidRPr="001102EB">
        <w:rPr>
          <w:rFonts w:ascii="Times New Roman" w:hAnsi="Times New Roman" w:cs="Times New Roman"/>
          <w:sz w:val="22"/>
          <w:szCs w:val="22"/>
        </w:rPr>
        <w:t xml:space="preserve"> procedures, linked weighbridges, integrated ICT and shared corridor management over infrastructure alone (Fitzmaurice &amp; Hartmann, 2013; Hoffman et al., 2023; </w:t>
      </w:r>
      <w:proofErr w:type="spellStart"/>
      <w:r w:rsidRPr="001102EB">
        <w:rPr>
          <w:rFonts w:ascii="Times New Roman" w:hAnsi="Times New Roman" w:cs="Times New Roman"/>
          <w:sz w:val="22"/>
          <w:szCs w:val="22"/>
        </w:rPr>
        <w:t>Kipkoech</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Mugambi</w:t>
      </w:r>
      <w:proofErr w:type="spellEnd"/>
      <w:r w:rsidRPr="001102EB">
        <w:rPr>
          <w:rFonts w:ascii="Times New Roman" w:hAnsi="Times New Roman" w:cs="Times New Roman"/>
          <w:sz w:val="22"/>
          <w:szCs w:val="22"/>
        </w:rPr>
        <w:t xml:space="preserve">, 2014; </w:t>
      </w:r>
      <w:proofErr w:type="spellStart"/>
      <w:r w:rsidRPr="001102EB">
        <w:rPr>
          <w:rFonts w:ascii="Times New Roman" w:hAnsi="Times New Roman" w:cs="Times New Roman"/>
          <w:sz w:val="22"/>
          <w:szCs w:val="22"/>
        </w:rPr>
        <w:t>Kunaka</w:t>
      </w:r>
      <w:proofErr w:type="spellEnd"/>
      <w:r w:rsidRPr="001102EB">
        <w:rPr>
          <w:rFonts w:ascii="Times New Roman" w:hAnsi="Times New Roman" w:cs="Times New Roman"/>
          <w:sz w:val="22"/>
          <w:szCs w:val="22"/>
        </w:rPr>
        <w:t xml:space="preserve"> et al., 2016).</w:t>
      </w:r>
    </w:p>
    <w:p w14:paraId="654E7156" w14:textId="66C53F49" w:rsidR="00121769" w:rsidRPr="001102EB" w:rsidRDefault="00000000" w:rsidP="001102EB">
      <w:pPr>
        <w:pStyle w:val="BodyText"/>
        <w:rPr>
          <w:rFonts w:ascii="Times New Roman" w:hAnsi="Times New Roman" w:cs="Times New Roman"/>
          <w:sz w:val="22"/>
          <w:szCs w:val="22"/>
        </w:rPr>
      </w:pPr>
      <w:r w:rsidRPr="001102EB">
        <w:rPr>
          <w:rFonts w:ascii="Times New Roman" w:hAnsi="Times New Roman" w:cs="Times New Roman"/>
          <w:sz w:val="22"/>
          <w:szCs w:val="22"/>
        </w:rPr>
        <w:t>Corridor megaproject research around LAPSSET and other Eastern African corridors adds a further caution: top-down corridor visions are consistently reshaped by local institutional and political realities, and anticipated benefits are contested by the actors who must live with them (</w:t>
      </w:r>
      <w:proofErr w:type="spellStart"/>
      <w:r w:rsidRPr="001102EB">
        <w:rPr>
          <w:rFonts w:ascii="Times New Roman" w:hAnsi="Times New Roman" w:cs="Times New Roman"/>
          <w:sz w:val="22"/>
          <w:szCs w:val="22"/>
        </w:rPr>
        <w:t>Chome</w:t>
      </w:r>
      <w:proofErr w:type="spellEnd"/>
      <w:r w:rsidRPr="001102EB">
        <w:rPr>
          <w:rFonts w:ascii="Times New Roman" w:hAnsi="Times New Roman" w:cs="Times New Roman"/>
          <w:sz w:val="22"/>
          <w:szCs w:val="22"/>
        </w:rPr>
        <w:t xml:space="preserve"> et al., 2020; </w:t>
      </w:r>
      <w:proofErr w:type="spellStart"/>
      <w:r w:rsidRPr="001102EB">
        <w:rPr>
          <w:rFonts w:ascii="Times New Roman" w:hAnsi="Times New Roman" w:cs="Times New Roman"/>
          <w:sz w:val="22"/>
          <w:szCs w:val="22"/>
        </w:rPr>
        <w:t>Aalders</w:t>
      </w:r>
      <w:proofErr w:type="spellEnd"/>
      <w:r w:rsidRPr="001102EB">
        <w:rPr>
          <w:rFonts w:ascii="Times New Roman" w:hAnsi="Times New Roman" w:cs="Times New Roman"/>
          <w:sz w:val="22"/>
          <w:szCs w:val="22"/>
        </w:rPr>
        <w:t xml:space="preserve"> et al., 2021). Adoption will therefore be social and </w:t>
      </w:r>
      <w:proofErr w:type="spellStart"/>
      <w:r w:rsidRPr="001102EB">
        <w:rPr>
          <w:rFonts w:ascii="Times New Roman" w:hAnsi="Times New Roman" w:cs="Times New Roman"/>
          <w:sz w:val="22"/>
          <w:szCs w:val="22"/>
        </w:rPr>
        <w:t>organisational</w:t>
      </w:r>
      <w:proofErr w:type="spellEnd"/>
      <w:r w:rsidRPr="001102EB">
        <w:rPr>
          <w:rFonts w:ascii="Times New Roman" w:hAnsi="Times New Roman" w:cs="Times New Roman"/>
          <w:sz w:val="22"/>
          <w:szCs w:val="22"/>
        </w:rPr>
        <w:t xml:space="preserve">, not merely technical. A platform that presents delay attribution as a shared operational fact </w:t>
      </w:r>
      <w:r w:rsidR="00DE614E">
        <w:rPr>
          <w:rFonts w:ascii="Times New Roman" w:hAnsi="Times New Roman" w:cs="Times New Roman"/>
          <w:sz w:val="22"/>
          <w:szCs w:val="22"/>
        </w:rPr>
        <w:t>-</w:t>
      </w:r>
      <w:r w:rsidRPr="001102EB">
        <w:rPr>
          <w:rFonts w:ascii="Times New Roman" w:hAnsi="Times New Roman" w:cs="Times New Roman"/>
          <w:sz w:val="22"/>
          <w:szCs w:val="22"/>
        </w:rPr>
        <w:t xml:space="preserve"> rather than as an instrument of blame</w:t>
      </w:r>
      <w:r w:rsidR="00DE614E">
        <w:rPr>
          <w:rFonts w:ascii="Times New Roman" w:hAnsi="Times New Roman" w:cs="Times New Roman"/>
          <w:sz w:val="22"/>
          <w:szCs w:val="22"/>
        </w:rPr>
        <w:t xml:space="preserve"> -</w:t>
      </w:r>
      <w:r w:rsidRPr="001102EB">
        <w:rPr>
          <w:rFonts w:ascii="Times New Roman" w:hAnsi="Times New Roman" w:cs="Times New Roman"/>
          <w:sz w:val="22"/>
          <w:szCs w:val="22"/>
        </w:rPr>
        <w:t xml:space="preserve"> is more likely to survive that politics.</w:t>
      </w:r>
    </w:p>
    <w:p w14:paraId="0D5EE090" w14:textId="77777777" w:rsidR="00121769" w:rsidRPr="001102EB" w:rsidRDefault="00121769">
      <w:pPr>
        <w:spacing w:after="60"/>
        <w:rPr>
          <w:rFonts w:ascii="Times New Roman" w:hAnsi="Times New Roman" w:cs="Times New Roman"/>
          <w:sz w:val="22"/>
          <w:szCs w:val="22"/>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3720"/>
      </w:tblGrid>
      <w:tr w:rsidR="00121769" w:rsidRPr="001102EB" w14:paraId="37A21F8B" w14:textId="77777777">
        <w:trPr>
          <w:tblHeader/>
        </w:trPr>
        <w:tc>
          <w:tcPr>
            <w:tcW w:w="19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0BD9B282"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Risk</w:t>
            </w:r>
          </w:p>
        </w:tc>
        <w:tc>
          <w:tcPr>
            <w:tcW w:w="34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39A1CF90"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Evidence</w:t>
            </w:r>
          </w:p>
        </w:tc>
        <w:tc>
          <w:tcPr>
            <w:tcW w:w="37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0FA492D8"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Mitigation implied by the literature</w:t>
            </w:r>
          </w:p>
        </w:tc>
      </w:tr>
      <w:tr w:rsidR="00121769" w:rsidRPr="001102EB" w14:paraId="2A53DEFB" w14:textId="77777777">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1A0DE60"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Data-sharing refusal</w:t>
            </w:r>
          </w:p>
        </w:tc>
        <w:tc>
          <w:tcPr>
            <w:tcW w:w="34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38002A1"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Institutional silos and competing transparency incentives (</w:t>
            </w: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xml:space="preserve">, 2025; </w:t>
            </w:r>
            <w:proofErr w:type="spellStart"/>
            <w:r w:rsidRPr="001102EB">
              <w:rPr>
                <w:rFonts w:ascii="Times New Roman" w:hAnsi="Times New Roman" w:cs="Times New Roman"/>
                <w:sz w:val="22"/>
                <w:szCs w:val="22"/>
              </w:rPr>
              <w:t>Bossong</w:t>
            </w:r>
            <w:proofErr w:type="spellEnd"/>
            <w:r w:rsidRPr="001102EB">
              <w:rPr>
                <w:rFonts w:ascii="Times New Roman" w:hAnsi="Times New Roman" w:cs="Times New Roman"/>
                <w:sz w:val="22"/>
                <w:szCs w:val="22"/>
              </w:rPr>
              <w:t xml:space="preserve"> et al., 2025)</w:t>
            </w:r>
          </w:p>
        </w:tc>
        <w:tc>
          <w:tcPr>
            <w:tcW w:w="37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0F1E110"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Start single-tenant with the transporter as the paying customer; add counterparties once value is demonstrated.</w:t>
            </w:r>
          </w:p>
        </w:tc>
      </w:tr>
      <w:tr w:rsidR="00121769" w:rsidRPr="001102EB" w14:paraId="49227DC9" w14:textId="77777777">
        <w:tc>
          <w:tcPr>
            <w:tcW w:w="1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E9E178D"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Connectivity and uptime</w:t>
            </w:r>
          </w:p>
        </w:tc>
        <w:tc>
          <w:tcPr>
            <w:tcW w:w="34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1FA6A4B"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Downtime and infrastructure limits erode measured benefits (Raphael, 2025)</w:t>
            </w:r>
          </w:p>
        </w:tc>
        <w:tc>
          <w:tcPr>
            <w:tcW w:w="37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ECC92A4"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Store-and-forward event capture; publish reliability metrics as a product commitment.</w:t>
            </w:r>
          </w:p>
        </w:tc>
      </w:tr>
      <w:tr w:rsidR="00121769" w:rsidRPr="001102EB" w14:paraId="11CB5C6C" w14:textId="77777777">
        <w:tc>
          <w:tcPr>
            <w:tcW w:w="19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B406A8D"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Procedural drag persists</w:t>
            </w:r>
          </w:p>
        </w:tc>
        <w:tc>
          <w:tcPr>
            <w:tcW w:w="34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1447799"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Customs procedures explain much performance variation (Kaaya, 2026; Ibrahim et al., 2025)</w:t>
            </w:r>
          </w:p>
        </w:tc>
        <w:tc>
          <w:tcPr>
            <w:tcW w:w="37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AACC9ED"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Design outputs usable as evidence in facilitation dialogue, not only internal dashboards.</w:t>
            </w:r>
          </w:p>
        </w:tc>
      </w:tr>
      <w:tr w:rsidR="00121769" w:rsidRPr="001102EB" w14:paraId="0A2162B6" w14:textId="77777777">
        <w:tc>
          <w:tcPr>
            <w:tcW w:w="19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1A5599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Political contestation</w:t>
            </w:r>
          </w:p>
        </w:tc>
        <w:tc>
          <w:tcPr>
            <w:tcW w:w="34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F6A3B09"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Corridor visions reshaped by local realities (</w:t>
            </w:r>
            <w:proofErr w:type="spellStart"/>
            <w:r w:rsidRPr="001102EB">
              <w:rPr>
                <w:rFonts w:ascii="Times New Roman" w:hAnsi="Times New Roman" w:cs="Times New Roman"/>
                <w:sz w:val="22"/>
                <w:szCs w:val="22"/>
              </w:rPr>
              <w:t>Chome</w:t>
            </w:r>
            <w:proofErr w:type="spellEnd"/>
            <w:r w:rsidRPr="001102EB">
              <w:rPr>
                <w:rFonts w:ascii="Times New Roman" w:hAnsi="Times New Roman" w:cs="Times New Roman"/>
                <w:sz w:val="22"/>
                <w:szCs w:val="22"/>
              </w:rPr>
              <w:t xml:space="preserve"> et al., 2020; </w:t>
            </w:r>
            <w:proofErr w:type="spellStart"/>
            <w:r w:rsidRPr="001102EB">
              <w:rPr>
                <w:rFonts w:ascii="Times New Roman" w:hAnsi="Times New Roman" w:cs="Times New Roman"/>
                <w:sz w:val="22"/>
                <w:szCs w:val="22"/>
              </w:rPr>
              <w:t>Aalders</w:t>
            </w:r>
            <w:proofErr w:type="spellEnd"/>
            <w:r w:rsidRPr="001102EB">
              <w:rPr>
                <w:rFonts w:ascii="Times New Roman" w:hAnsi="Times New Roman" w:cs="Times New Roman"/>
                <w:sz w:val="22"/>
                <w:szCs w:val="22"/>
              </w:rPr>
              <w:t xml:space="preserve"> et al., 2021)</w:t>
            </w:r>
          </w:p>
        </w:tc>
        <w:tc>
          <w:tcPr>
            <w:tcW w:w="37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967B1E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Neutral, node-level attribution; avoid framing that assigns institutional blame.</w:t>
            </w:r>
          </w:p>
        </w:tc>
      </w:tr>
    </w:tbl>
    <w:p w14:paraId="3DD48788" w14:textId="77777777" w:rsidR="00121769" w:rsidRPr="001102EB" w:rsidRDefault="00000000">
      <w:pPr>
        <w:spacing w:before="120" w:after="260"/>
        <w:rPr>
          <w:rFonts w:ascii="Times New Roman" w:hAnsi="Times New Roman" w:cs="Times New Roman"/>
          <w:sz w:val="22"/>
          <w:szCs w:val="22"/>
        </w:rPr>
      </w:pPr>
      <w:r w:rsidRPr="001102EB">
        <w:rPr>
          <w:rFonts w:ascii="Times New Roman" w:hAnsi="Times New Roman" w:cs="Times New Roman"/>
          <w:i/>
          <w:iCs/>
          <w:color w:val="596A73"/>
          <w:sz w:val="22"/>
          <w:szCs w:val="22"/>
        </w:rPr>
        <w:t>Table 3.  Adoption risks and the mitigations the literature implies.</w:t>
      </w:r>
    </w:p>
    <w:p w14:paraId="1D6034B7" w14:textId="77777777" w:rsidR="00121769" w:rsidRPr="001102EB" w:rsidRDefault="00000000">
      <w:pPr>
        <w:rPr>
          <w:rFonts w:ascii="Times New Roman" w:hAnsi="Times New Roman" w:cs="Times New Roman"/>
          <w:sz w:val="22"/>
          <w:szCs w:val="22"/>
        </w:rPr>
      </w:pPr>
      <w:r w:rsidRPr="001102EB">
        <w:rPr>
          <w:rFonts w:ascii="Times New Roman" w:hAnsi="Times New Roman" w:cs="Times New Roman"/>
          <w:sz w:val="22"/>
          <w:szCs w:val="22"/>
        </w:rPr>
        <w:br w:type="page"/>
      </w:r>
    </w:p>
    <w:p w14:paraId="0ED30ED3" w14:textId="77777777" w:rsidR="00121769" w:rsidRPr="001102EB" w:rsidRDefault="00000000">
      <w:pPr>
        <w:pStyle w:val="Heading1"/>
        <w:rPr>
          <w:rFonts w:ascii="Times New Roman" w:hAnsi="Times New Roman" w:cs="Times New Roman"/>
          <w:sz w:val="22"/>
          <w:szCs w:val="22"/>
        </w:rPr>
      </w:pPr>
      <w:bookmarkStart w:id="19" w:name="_Toc240747761"/>
      <w:r w:rsidRPr="001102EB">
        <w:rPr>
          <w:rFonts w:ascii="Times New Roman" w:hAnsi="Times New Roman" w:cs="Times New Roman"/>
          <w:sz w:val="22"/>
          <w:szCs w:val="22"/>
        </w:rPr>
        <w:lastRenderedPageBreak/>
        <w:t>9.  Product Implications and Build Sequence</w:t>
      </w:r>
      <w:bookmarkEnd w:id="19"/>
    </w:p>
    <w:p w14:paraId="51EC6CEC"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The best initial version of Turnaround is not a generic vehicle tracker. The research most strongly supports a </w:t>
      </w:r>
      <w:r w:rsidRPr="001102EB">
        <w:rPr>
          <w:rFonts w:ascii="Times New Roman" w:hAnsi="Times New Roman" w:cs="Times New Roman"/>
          <w:b/>
          <w:bCs/>
          <w:sz w:val="22"/>
          <w:szCs w:val="22"/>
        </w:rPr>
        <w:t>corridor event intelligence</w:t>
      </w:r>
      <w:r w:rsidRPr="001102EB">
        <w:rPr>
          <w:rFonts w:ascii="Times New Roman" w:hAnsi="Times New Roman" w:cs="Times New Roman"/>
          <w:sz w:val="22"/>
          <w:szCs w:val="22"/>
        </w:rPr>
        <w:t xml:space="preserve"> product that detects arrivals and dwell, attributes delay to specific facilities or corridor nodes, and translates excess time into idle cost, service risk and demurrage exposure (Hoffman et al., 2023; </w:t>
      </w:r>
      <w:proofErr w:type="spellStart"/>
      <w:r w:rsidRPr="001102EB">
        <w:rPr>
          <w:rFonts w:ascii="Times New Roman" w:hAnsi="Times New Roman" w:cs="Times New Roman"/>
          <w:sz w:val="22"/>
          <w:szCs w:val="22"/>
        </w:rPr>
        <w:t>Chadenyile</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Kassembe</w:t>
      </w:r>
      <w:proofErr w:type="spellEnd"/>
      <w:r w:rsidRPr="001102EB">
        <w:rPr>
          <w:rFonts w:ascii="Times New Roman" w:hAnsi="Times New Roman" w:cs="Times New Roman"/>
          <w:sz w:val="22"/>
          <w:szCs w:val="22"/>
        </w:rPr>
        <w:t xml:space="preserve">, 2025). That positioning is stronger than a broad “AI logistics” claim because it matches the clearest evidence gap: East African systems are often </w:t>
      </w:r>
      <w:proofErr w:type="spellStart"/>
      <w:r w:rsidRPr="001102EB">
        <w:rPr>
          <w:rFonts w:ascii="Times New Roman" w:hAnsi="Times New Roman" w:cs="Times New Roman"/>
          <w:sz w:val="22"/>
          <w:szCs w:val="22"/>
        </w:rPr>
        <w:t>digitised</w:t>
      </w:r>
      <w:proofErr w:type="spellEnd"/>
      <w:r w:rsidRPr="001102EB">
        <w:rPr>
          <w:rFonts w:ascii="Times New Roman" w:hAnsi="Times New Roman" w:cs="Times New Roman"/>
          <w:sz w:val="22"/>
          <w:szCs w:val="22"/>
        </w:rPr>
        <w:t xml:space="preserve">, but still insufficiently integrated, quantified and operationally </w:t>
      </w:r>
      <w:proofErr w:type="spellStart"/>
      <w:r w:rsidRPr="001102EB">
        <w:rPr>
          <w:rFonts w:ascii="Times New Roman" w:hAnsi="Times New Roman" w:cs="Times New Roman"/>
          <w:sz w:val="22"/>
          <w:szCs w:val="22"/>
        </w:rPr>
        <w:t>synchronised</w:t>
      </w:r>
      <w:proofErr w:type="spellEnd"/>
      <w:r w:rsidRPr="001102EB">
        <w:rPr>
          <w:rFonts w:ascii="Times New Roman" w:hAnsi="Times New Roman" w:cs="Times New Roman"/>
          <w:sz w:val="22"/>
          <w:szCs w:val="22"/>
        </w:rPr>
        <w:t xml:space="preserve"> (Raphael, 2025).</w:t>
      </w:r>
    </w:p>
    <w:p w14:paraId="761B8361"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A practical go-to-market path is to start where measurement is clearest and payback is shortest: port gates, ICDs, border posts, weighbridges and high-volume customer facilities (Hoffman et al., 2023; </w:t>
      </w:r>
      <w:proofErr w:type="spellStart"/>
      <w:r w:rsidRPr="001102EB">
        <w:rPr>
          <w:rFonts w:ascii="Times New Roman" w:hAnsi="Times New Roman" w:cs="Times New Roman"/>
          <w:sz w:val="22"/>
          <w:szCs w:val="22"/>
        </w:rPr>
        <w:t>Morwa</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Ndilito</w:t>
      </w:r>
      <w:proofErr w:type="spellEnd"/>
      <w:r w:rsidRPr="001102EB">
        <w:rPr>
          <w:rFonts w:ascii="Times New Roman" w:hAnsi="Times New Roman" w:cs="Times New Roman"/>
          <w:sz w:val="22"/>
          <w:szCs w:val="22"/>
        </w:rPr>
        <w:t xml:space="preserve">, 2024; </w:t>
      </w: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xml:space="preserve">, 2025; </w:t>
      </w:r>
      <w:proofErr w:type="spellStart"/>
      <w:r w:rsidRPr="001102EB">
        <w:rPr>
          <w:rFonts w:ascii="Times New Roman" w:hAnsi="Times New Roman" w:cs="Times New Roman"/>
          <w:sz w:val="22"/>
          <w:szCs w:val="22"/>
        </w:rPr>
        <w:t>Kipkoech</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Mugambi</w:t>
      </w:r>
      <w:proofErr w:type="spellEnd"/>
      <w:r w:rsidRPr="001102EB">
        <w:rPr>
          <w:rFonts w:ascii="Times New Roman" w:hAnsi="Times New Roman" w:cs="Times New Roman"/>
          <w:sz w:val="22"/>
          <w:szCs w:val="22"/>
        </w:rPr>
        <w:t xml:space="preserve">, 2014; </w:t>
      </w:r>
      <w:proofErr w:type="spellStart"/>
      <w:r w:rsidRPr="001102EB">
        <w:rPr>
          <w:rFonts w:ascii="Times New Roman" w:hAnsi="Times New Roman" w:cs="Times New Roman"/>
          <w:sz w:val="22"/>
          <w:szCs w:val="22"/>
        </w:rPr>
        <w:t>Kunambi</w:t>
      </w:r>
      <w:proofErr w:type="spellEnd"/>
      <w:r w:rsidRPr="001102EB">
        <w:rPr>
          <w:rFonts w:ascii="Times New Roman" w:hAnsi="Times New Roman" w:cs="Times New Roman"/>
          <w:sz w:val="22"/>
          <w:szCs w:val="22"/>
        </w:rPr>
        <w:t xml:space="preserve"> &amp; Zheng, 2025). These nodes already generate visible waiting, measurable dwell and direct financial pain, which makes them the best environments for proving value.</w:t>
      </w:r>
    </w:p>
    <w:p w14:paraId="188C24CA" w14:textId="77777777" w:rsidR="00121769" w:rsidRPr="001102EB" w:rsidRDefault="00121769">
      <w:pPr>
        <w:spacing w:after="60"/>
        <w:rPr>
          <w:rFonts w:ascii="Times New Roman" w:hAnsi="Times New Roman" w:cs="Times New Roman"/>
          <w:sz w:val="22"/>
          <w:szCs w:val="22"/>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3420"/>
        <w:gridCol w:w="2000"/>
      </w:tblGrid>
      <w:tr w:rsidR="00121769" w:rsidRPr="001102EB" w14:paraId="2A85D96F" w14:textId="77777777">
        <w:trPr>
          <w:tblHeader/>
        </w:trPr>
        <w:tc>
          <w:tcPr>
            <w:tcW w:w="10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536C194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Phase</w:t>
            </w:r>
          </w:p>
        </w:tc>
        <w:tc>
          <w:tcPr>
            <w:tcW w:w="26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7513501F"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Capability</w:t>
            </w:r>
          </w:p>
        </w:tc>
        <w:tc>
          <w:tcPr>
            <w:tcW w:w="34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00F5BB76"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Evidence rationale</w:t>
            </w:r>
          </w:p>
        </w:tc>
        <w:tc>
          <w:tcPr>
            <w:tcW w:w="20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6E255DA1"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Precondition</w:t>
            </w:r>
          </w:p>
        </w:tc>
      </w:tr>
      <w:tr w:rsidR="00121769" w:rsidRPr="001102EB" w14:paraId="54E3D5A6" w14:textId="77777777">
        <w:tc>
          <w:tcPr>
            <w:tcW w:w="10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BF3449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Phase 1</w:t>
            </w:r>
          </w:p>
        </w:tc>
        <w:tc>
          <w:tcPr>
            <w:tcW w:w="26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E9A9FA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High-confidence event capture at ports, ICDs, border posts, weighbridges and customer facilities</w:t>
            </w:r>
          </w:p>
        </w:tc>
        <w:tc>
          <w:tcPr>
            <w:tcW w:w="34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CEBCB5F"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Telematics reliably produces location, movement and event states; nodes with visible waiting give the shortest proof cycle</w:t>
            </w:r>
          </w:p>
        </w:tc>
        <w:tc>
          <w:tcPr>
            <w:tcW w:w="20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CE5BF2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Device coverage and event-accuracy benchmarking</w:t>
            </w:r>
          </w:p>
        </w:tc>
      </w:tr>
      <w:tr w:rsidR="00121769" w:rsidRPr="001102EB" w14:paraId="1B61D078" w14:textId="77777777">
        <w:tc>
          <w:tcPr>
            <w:tcW w:w="10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38812E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Phase 2</w:t>
            </w:r>
          </w:p>
        </w:tc>
        <w:tc>
          <w:tcPr>
            <w:tcW w:w="26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649FA5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Delay-to-cost translation: idle cost, demurrage exposure, service-risk metrics</w:t>
            </w:r>
          </w:p>
        </w:tc>
        <w:tc>
          <w:tcPr>
            <w:tcW w:w="34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F15ADF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Delay variability drives up to 80% of corridor cost; prior studies omitted user-level economic translation</w:t>
            </w:r>
          </w:p>
        </w:tc>
        <w:tc>
          <w:tcPr>
            <w:tcW w:w="20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DBF3505"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Verified dwell events and agreed cost parameters</w:t>
            </w:r>
          </w:p>
        </w:tc>
      </w:tr>
      <w:tr w:rsidR="00121769" w:rsidRPr="001102EB" w14:paraId="63633742" w14:textId="77777777">
        <w:tc>
          <w:tcPr>
            <w:tcW w:w="10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287424B"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Phase 3</w:t>
            </w:r>
          </w:p>
        </w:tc>
        <w:tc>
          <w:tcPr>
            <w:tcW w:w="26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A0701A6"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Shared multi-party visibility and scheduling coordination</w:t>
            </w:r>
          </w:p>
        </w:tc>
        <w:tc>
          <w:tcPr>
            <w:tcW w:w="34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9D7254F"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Coordination quality maps directly onto clearance delay; slot booking cuts queues without capital expenditure</w:t>
            </w:r>
          </w:p>
        </w:tc>
        <w:tc>
          <w:tcPr>
            <w:tcW w:w="20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DBEFFA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Counterparty onboarding and data-sharing agreements</w:t>
            </w:r>
          </w:p>
        </w:tc>
      </w:tr>
      <w:tr w:rsidR="00121769" w:rsidRPr="001102EB" w14:paraId="12CC28E9" w14:textId="77777777">
        <w:tc>
          <w:tcPr>
            <w:tcW w:w="10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704BCDA5"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Phase 4</w:t>
            </w:r>
          </w:p>
        </w:tc>
        <w:tc>
          <w:tcPr>
            <w:tcW w:w="26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71D17A6"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Predictive delay analytics and resource </w:t>
            </w:r>
            <w:proofErr w:type="spellStart"/>
            <w:r w:rsidRPr="001102EB">
              <w:rPr>
                <w:rFonts w:ascii="Times New Roman" w:hAnsi="Times New Roman" w:cs="Times New Roman"/>
                <w:sz w:val="22"/>
                <w:szCs w:val="22"/>
              </w:rPr>
              <w:t>optimisation</w:t>
            </w:r>
            <w:proofErr w:type="spellEnd"/>
          </w:p>
        </w:tc>
        <w:tc>
          <w:tcPr>
            <w:tcW w:w="34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220F394"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Modelling support exists but is less corridor-specific than tracking evidence</w:t>
            </w:r>
          </w:p>
        </w:tc>
        <w:tc>
          <w:tcPr>
            <w:tcW w:w="20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52D380D"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Reliable, sustained multi-party data of sufficient volume</w:t>
            </w:r>
          </w:p>
        </w:tc>
      </w:tr>
    </w:tbl>
    <w:p w14:paraId="3D4A327C" w14:textId="77777777" w:rsidR="00121769" w:rsidRPr="001102EB" w:rsidRDefault="00000000">
      <w:pPr>
        <w:spacing w:before="120" w:after="260"/>
        <w:rPr>
          <w:rFonts w:ascii="Times New Roman" w:hAnsi="Times New Roman" w:cs="Times New Roman"/>
          <w:sz w:val="22"/>
          <w:szCs w:val="22"/>
        </w:rPr>
      </w:pPr>
      <w:r w:rsidRPr="001102EB">
        <w:rPr>
          <w:rFonts w:ascii="Times New Roman" w:hAnsi="Times New Roman" w:cs="Times New Roman"/>
          <w:i/>
          <w:iCs/>
          <w:color w:val="596A73"/>
          <w:sz w:val="22"/>
          <w:szCs w:val="22"/>
        </w:rPr>
        <w:t>Table 4.  Evidence-derived build sequence. Each phase depends on the data quality established by the phase before it.</w:t>
      </w:r>
    </w:p>
    <w:p w14:paraId="627F8F98"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The sequencing point is emphatic in the literature: predictive models should be added only after the platform has reliable multi-party data, because current evidence is considerably stronger for visibility and coordination than for advanced corridor-specific AI (</w:t>
      </w:r>
      <w:proofErr w:type="spellStart"/>
      <w:r w:rsidRPr="001102EB">
        <w:rPr>
          <w:rFonts w:ascii="Times New Roman" w:hAnsi="Times New Roman" w:cs="Times New Roman"/>
          <w:sz w:val="22"/>
          <w:szCs w:val="22"/>
        </w:rPr>
        <w:t>Kunambi</w:t>
      </w:r>
      <w:proofErr w:type="spellEnd"/>
      <w:r w:rsidRPr="001102EB">
        <w:rPr>
          <w:rFonts w:ascii="Times New Roman" w:hAnsi="Times New Roman" w:cs="Times New Roman"/>
          <w:sz w:val="22"/>
          <w:szCs w:val="22"/>
        </w:rPr>
        <w:t xml:space="preserve"> &amp; Zheng, 2025; </w:t>
      </w:r>
      <w:proofErr w:type="spellStart"/>
      <w:r w:rsidRPr="001102EB">
        <w:rPr>
          <w:rFonts w:ascii="Times New Roman" w:hAnsi="Times New Roman" w:cs="Times New Roman"/>
          <w:sz w:val="22"/>
          <w:szCs w:val="22"/>
        </w:rPr>
        <w:t>Heinbach</w:t>
      </w:r>
      <w:proofErr w:type="spellEnd"/>
      <w:r w:rsidRPr="001102EB">
        <w:rPr>
          <w:rFonts w:ascii="Times New Roman" w:hAnsi="Times New Roman" w:cs="Times New Roman"/>
          <w:sz w:val="22"/>
          <w:szCs w:val="22"/>
        </w:rPr>
        <w:t xml:space="preserve"> et al., 2022).</w:t>
      </w:r>
    </w:p>
    <w:p w14:paraId="0AEE4372" w14:textId="77777777" w:rsidR="00DE614E" w:rsidRDefault="00DE614E">
      <w:pPr>
        <w:pStyle w:val="Heading1"/>
        <w:rPr>
          <w:rFonts w:ascii="Times New Roman" w:hAnsi="Times New Roman" w:cs="Times New Roman"/>
          <w:sz w:val="22"/>
          <w:szCs w:val="22"/>
        </w:rPr>
      </w:pPr>
      <w:bookmarkStart w:id="20" w:name="_Toc240747762"/>
    </w:p>
    <w:p w14:paraId="52B49E2C" w14:textId="418E4B5F" w:rsidR="00121769" w:rsidRPr="001102EB" w:rsidRDefault="00000000">
      <w:pPr>
        <w:pStyle w:val="Heading1"/>
        <w:rPr>
          <w:rFonts w:ascii="Times New Roman" w:hAnsi="Times New Roman" w:cs="Times New Roman"/>
          <w:sz w:val="22"/>
          <w:szCs w:val="22"/>
        </w:rPr>
      </w:pPr>
      <w:r w:rsidRPr="001102EB">
        <w:rPr>
          <w:rFonts w:ascii="Times New Roman" w:hAnsi="Times New Roman" w:cs="Times New Roman"/>
          <w:sz w:val="22"/>
          <w:szCs w:val="22"/>
        </w:rPr>
        <w:lastRenderedPageBreak/>
        <w:t>10.  Limitations of the Evidence Base</w:t>
      </w:r>
      <w:bookmarkEnd w:id="20"/>
    </w:p>
    <w:p w14:paraId="7624E3A9" w14:textId="0F365F7D"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Three limitations should be stated plainly. First, much of the East African node-level evidence is survey-based and cross-sectional, which supports association rather than causal attribution; the Dar es Salaam cargo-handling findings and the Mombasa tracking findings are of this type (</w:t>
      </w:r>
      <w:proofErr w:type="spellStart"/>
      <w:r w:rsidRPr="001102EB">
        <w:rPr>
          <w:rFonts w:ascii="Times New Roman" w:hAnsi="Times New Roman" w:cs="Times New Roman"/>
          <w:sz w:val="22"/>
          <w:szCs w:val="22"/>
        </w:rPr>
        <w:t>Chadenyile</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Kassembe</w:t>
      </w:r>
      <w:proofErr w:type="spellEnd"/>
      <w:r w:rsidRPr="001102EB">
        <w:rPr>
          <w:rFonts w:ascii="Times New Roman" w:hAnsi="Times New Roman" w:cs="Times New Roman"/>
          <w:sz w:val="22"/>
          <w:szCs w:val="22"/>
        </w:rPr>
        <w:t>, 2025; Kinyua et al., 2024). Second, the strongest quantified benefit estimates come either from a Southern African simulation (Hoffman et al., 2016) or from adoption studies whose effect sizes are conditional on reliable system use (Raphael, 2025), so they should be treated as plausible upper bounds rather than expected values. Third, no study in this set evaluates a platform that performs all four functions Turnaround proposes observation, attribution, sharing and economic translation</w:t>
      </w:r>
      <w:r w:rsidR="00DE614E">
        <w:rPr>
          <w:rFonts w:ascii="Times New Roman" w:hAnsi="Times New Roman" w:cs="Times New Roman"/>
          <w:sz w:val="22"/>
          <w:szCs w:val="22"/>
        </w:rPr>
        <w:t xml:space="preserve"> </w:t>
      </w:r>
      <w:r w:rsidRPr="001102EB">
        <w:rPr>
          <w:rFonts w:ascii="Times New Roman" w:hAnsi="Times New Roman" w:cs="Times New Roman"/>
          <w:sz w:val="22"/>
          <w:szCs w:val="22"/>
        </w:rPr>
        <w:t>in combination. That absence is precisely the research gap, but it also means the integrated proposition remains to be demonstrated empirically. Turnaround’s own deployment data would constitute a genuine contribution to this literature.</w:t>
      </w:r>
    </w:p>
    <w:p w14:paraId="492A1991" w14:textId="77777777" w:rsidR="003879F1" w:rsidRDefault="003879F1">
      <w:pPr>
        <w:pStyle w:val="Heading1"/>
        <w:rPr>
          <w:rFonts w:ascii="Times New Roman" w:hAnsi="Times New Roman" w:cs="Times New Roman"/>
          <w:sz w:val="22"/>
          <w:szCs w:val="22"/>
        </w:rPr>
      </w:pPr>
      <w:bookmarkStart w:id="21" w:name="_Toc240747763"/>
    </w:p>
    <w:p w14:paraId="43D51986" w14:textId="77777777" w:rsidR="003879F1" w:rsidRDefault="003879F1">
      <w:pPr>
        <w:pStyle w:val="Heading1"/>
        <w:rPr>
          <w:rFonts w:ascii="Times New Roman" w:hAnsi="Times New Roman" w:cs="Times New Roman"/>
          <w:sz w:val="22"/>
          <w:szCs w:val="22"/>
        </w:rPr>
      </w:pPr>
    </w:p>
    <w:p w14:paraId="181F40BF" w14:textId="77777777" w:rsidR="003879F1" w:rsidRDefault="003879F1">
      <w:pPr>
        <w:pStyle w:val="Heading1"/>
        <w:rPr>
          <w:rFonts w:ascii="Times New Roman" w:hAnsi="Times New Roman" w:cs="Times New Roman"/>
          <w:sz w:val="22"/>
          <w:szCs w:val="22"/>
        </w:rPr>
      </w:pPr>
    </w:p>
    <w:p w14:paraId="003EB6E5" w14:textId="61411068" w:rsidR="00121769" w:rsidRPr="001102EB" w:rsidRDefault="00000000">
      <w:pPr>
        <w:pStyle w:val="Heading1"/>
        <w:rPr>
          <w:rFonts w:ascii="Times New Roman" w:hAnsi="Times New Roman" w:cs="Times New Roman"/>
          <w:sz w:val="22"/>
          <w:szCs w:val="22"/>
        </w:rPr>
      </w:pPr>
      <w:r w:rsidRPr="001102EB">
        <w:rPr>
          <w:rFonts w:ascii="Times New Roman" w:hAnsi="Times New Roman" w:cs="Times New Roman"/>
          <w:sz w:val="22"/>
          <w:szCs w:val="22"/>
        </w:rPr>
        <w:t>11.  Conclusion</w:t>
      </w:r>
      <w:bookmarkEnd w:id="21"/>
    </w:p>
    <w:p w14:paraId="00FB2345"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 xml:space="preserve">Turnaround is a well-validated concept: strong support for the problem, strong support for the telemetry and workflow backbone, and moderate support for the more advanced predictive features. The problem is not merely delayed trucks, weak customs or missing dashboards in isolation. The real problem is the absence of an integrated operational intelligence layer that can </w:t>
      </w:r>
      <w:r w:rsidRPr="001102EB">
        <w:rPr>
          <w:rFonts w:ascii="Times New Roman" w:hAnsi="Times New Roman" w:cs="Times New Roman"/>
          <w:b/>
          <w:bCs/>
          <w:sz w:val="22"/>
          <w:szCs w:val="22"/>
        </w:rPr>
        <w:t>reliably observe delay, attribute it to specific corridor nodes, share that truth across institutions, and translate it into the economic consequences that justify intervention</w:t>
      </w:r>
      <w:r w:rsidRPr="001102EB">
        <w:rPr>
          <w:rFonts w:ascii="Times New Roman" w:hAnsi="Times New Roman" w:cs="Times New Roman"/>
          <w:sz w:val="22"/>
          <w:szCs w:val="22"/>
        </w:rPr>
        <w:t xml:space="preserve"> (Raphael, 2025; </w:t>
      </w: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2025; Hoffman et al., 2016).</w:t>
      </w:r>
    </w:p>
    <w:p w14:paraId="3D84CAC3"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The literature therefore supports building Turnaround first as a reliable, multi-tenant delay-visibility and cost-intelligence platform for East African corridor operations, and expanding into richer coordination and prediction once data quality and stakeholder integration are in place.</w:t>
      </w:r>
    </w:p>
    <w:p w14:paraId="2A6361A3" w14:textId="77777777" w:rsidR="00121769" w:rsidRPr="001102EB" w:rsidRDefault="00000000">
      <w:pPr>
        <w:rPr>
          <w:rFonts w:ascii="Times New Roman" w:hAnsi="Times New Roman" w:cs="Times New Roman"/>
          <w:sz w:val="22"/>
          <w:szCs w:val="22"/>
        </w:rPr>
      </w:pPr>
      <w:r w:rsidRPr="001102EB">
        <w:rPr>
          <w:rFonts w:ascii="Times New Roman" w:hAnsi="Times New Roman" w:cs="Times New Roman"/>
          <w:sz w:val="22"/>
          <w:szCs w:val="22"/>
        </w:rPr>
        <w:br w:type="page"/>
      </w:r>
    </w:p>
    <w:p w14:paraId="41A56B41" w14:textId="77777777" w:rsidR="00121769" w:rsidRPr="001102EB" w:rsidRDefault="00000000">
      <w:pPr>
        <w:pStyle w:val="Heading1"/>
        <w:rPr>
          <w:rFonts w:ascii="Times New Roman" w:hAnsi="Times New Roman" w:cs="Times New Roman"/>
          <w:sz w:val="22"/>
          <w:szCs w:val="22"/>
        </w:rPr>
      </w:pPr>
      <w:bookmarkStart w:id="22" w:name="_Toc240747764"/>
      <w:r w:rsidRPr="001102EB">
        <w:rPr>
          <w:rFonts w:ascii="Times New Roman" w:hAnsi="Times New Roman" w:cs="Times New Roman"/>
          <w:sz w:val="22"/>
          <w:szCs w:val="22"/>
        </w:rPr>
        <w:lastRenderedPageBreak/>
        <w:t>References</w:t>
      </w:r>
      <w:bookmarkEnd w:id="22"/>
    </w:p>
    <w:p w14:paraId="02106992"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Aalders</w:t>
      </w:r>
      <w:proofErr w:type="spellEnd"/>
      <w:r w:rsidRPr="001102EB">
        <w:rPr>
          <w:rFonts w:ascii="Times New Roman" w:hAnsi="Times New Roman" w:cs="Times New Roman"/>
          <w:sz w:val="22"/>
          <w:szCs w:val="22"/>
        </w:rPr>
        <w:t>, J., Bachmann, J., &amp; Knutsson, P. (2021). The making and unmaking of a megaproject: Contesting temporalities along the LAPSSET Corridor in Kenya. Antipode. https://doi.org/10.1111/anti.12720</w:t>
      </w:r>
    </w:p>
    <w:p w14:paraId="4AAEA80E" w14:textId="16628768"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Bossong</w:t>
      </w:r>
      <w:proofErr w:type="spellEnd"/>
      <w:r w:rsidRPr="001102EB">
        <w:rPr>
          <w:rFonts w:ascii="Times New Roman" w:hAnsi="Times New Roman" w:cs="Times New Roman"/>
          <w:sz w:val="22"/>
          <w:szCs w:val="22"/>
        </w:rPr>
        <w:t xml:space="preserve">, P., Reinhardt, A., &amp; Elbert, R. (2025). Adoption drivers and barriers of digital freight transport platforms </w:t>
      </w:r>
      <w:r w:rsidR="00DE614E">
        <w:rPr>
          <w:rFonts w:ascii="Times New Roman" w:hAnsi="Times New Roman" w:cs="Times New Roman"/>
          <w:sz w:val="22"/>
          <w:szCs w:val="22"/>
        </w:rPr>
        <w:t>-</w:t>
      </w:r>
      <w:r w:rsidRPr="001102EB">
        <w:rPr>
          <w:rFonts w:ascii="Times New Roman" w:hAnsi="Times New Roman" w:cs="Times New Roman"/>
          <w:sz w:val="22"/>
          <w:szCs w:val="22"/>
        </w:rPr>
        <w:t xml:space="preserve"> An intermodal case study. Electronic Markets, 35. https://doi.org/10.1007/s12525-025-00780-0</w:t>
      </w:r>
    </w:p>
    <w:p w14:paraId="29720CC3" w14:textId="344AF658"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 xml:space="preserve">Brits, A., &amp; </w:t>
      </w:r>
      <w:proofErr w:type="spellStart"/>
      <w:r w:rsidRPr="001102EB">
        <w:rPr>
          <w:rFonts w:ascii="Times New Roman" w:hAnsi="Times New Roman" w:cs="Times New Roman"/>
          <w:sz w:val="22"/>
          <w:szCs w:val="22"/>
        </w:rPr>
        <w:t>Waiyaki</w:t>
      </w:r>
      <w:proofErr w:type="spellEnd"/>
      <w:r w:rsidRPr="001102EB">
        <w:rPr>
          <w:rFonts w:ascii="Times New Roman" w:hAnsi="Times New Roman" w:cs="Times New Roman"/>
          <w:sz w:val="22"/>
          <w:szCs w:val="22"/>
        </w:rPr>
        <w:t>, E. (2015). Leveraging telematics for optimal fleet performance. International Journal of Business and Economics, 2, 49</w:t>
      </w:r>
      <w:r w:rsidR="00DE614E">
        <w:rPr>
          <w:rFonts w:ascii="Times New Roman" w:hAnsi="Times New Roman" w:cs="Times New Roman"/>
          <w:sz w:val="22"/>
          <w:szCs w:val="22"/>
        </w:rPr>
        <w:t>-</w:t>
      </w:r>
      <w:r w:rsidRPr="001102EB">
        <w:rPr>
          <w:rFonts w:ascii="Times New Roman" w:hAnsi="Times New Roman" w:cs="Times New Roman"/>
          <w:sz w:val="22"/>
          <w:szCs w:val="22"/>
        </w:rPr>
        <w:t>63. https://doi.org/10.18488/journal.62/2015.2.2/68.2.49.63</w:t>
      </w:r>
    </w:p>
    <w:p w14:paraId="17605FFF"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Chadenyile</w:t>
      </w:r>
      <w:proofErr w:type="spellEnd"/>
      <w:r w:rsidRPr="001102EB">
        <w:rPr>
          <w:rFonts w:ascii="Times New Roman" w:hAnsi="Times New Roman" w:cs="Times New Roman"/>
          <w:sz w:val="22"/>
          <w:szCs w:val="22"/>
        </w:rPr>
        <w:t xml:space="preserve">, N., &amp; </w:t>
      </w:r>
      <w:proofErr w:type="spellStart"/>
      <w:r w:rsidRPr="001102EB">
        <w:rPr>
          <w:rFonts w:ascii="Times New Roman" w:hAnsi="Times New Roman" w:cs="Times New Roman"/>
          <w:sz w:val="22"/>
          <w:szCs w:val="22"/>
        </w:rPr>
        <w:t>Kassembe</w:t>
      </w:r>
      <w:proofErr w:type="spellEnd"/>
      <w:r w:rsidRPr="001102EB">
        <w:rPr>
          <w:rFonts w:ascii="Times New Roman" w:hAnsi="Times New Roman" w:cs="Times New Roman"/>
          <w:sz w:val="22"/>
          <w:szCs w:val="22"/>
        </w:rPr>
        <w:t>, P. E. A. (2025). The impact of cargo handling time on trade flow at Dar es Salaam Port. Social Science and Humanities Journal. https://doi.org/10.18535/sshj.v9i10.2057</w:t>
      </w:r>
    </w:p>
    <w:p w14:paraId="674F743B"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Charanaraj</w:t>
      </w:r>
      <w:proofErr w:type="spellEnd"/>
      <w:r w:rsidRPr="001102EB">
        <w:rPr>
          <w:rFonts w:ascii="Times New Roman" w:hAnsi="Times New Roman" w:cs="Times New Roman"/>
          <w:sz w:val="22"/>
          <w:szCs w:val="22"/>
        </w:rPr>
        <w:t xml:space="preserve">, N., Jayanth, S., Dhanush, V., </w:t>
      </w:r>
      <w:proofErr w:type="spellStart"/>
      <w:r w:rsidRPr="001102EB">
        <w:rPr>
          <w:rFonts w:ascii="Times New Roman" w:hAnsi="Times New Roman" w:cs="Times New Roman"/>
          <w:sz w:val="22"/>
          <w:szCs w:val="22"/>
        </w:rPr>
        <w:t>Quardras</w:t>
      </w:r>
      <w:proofErr w:type="spellEnd"/>
      <w:r w:rsidRPr="001102EB">
        <w:rPr>
          <w:rFonts w:ascii="Times New Roman" w:hAnsi="Times New Roman" w:cs="Times New Roman"/>
          <w:sz w:val="22"/>
          <w:szCs w:val="22"/>
        </w:rPr>
        <w:t xml:space="preserve">, D., &amp; </w:t>
      </w:r>
      <w:proofErr w:type="spellStart"/>
      <w:r w:rsidRPr="001102EB">
        <w:rPr>
          <w:rFonts w:ascii="Times New Roman" w:hAnsi="Times New Roman" w:cs="Times New Roman"/>
          <w:sz w:val="22"/>
          <w:szCs w:val="22"/>
        </w:rPr>
        <w:t>Shahapur</w:t>
      </w:r>
      <w:proofErr w:type="spellEnd"/>
      <w:r w:rsidRPr="001102EB">
        <w:rPr>
          <w:rFonts w:ascii="Times New Roman" w:hAnsi="Times New Roman" w:cs="Times New Roman"/>
          <w:sz w:val="22"/>
          <w:szCs w:val="22"/>
        </w:rPr>
        <w:t>, V. S. (2019). Web information system for GPS vehicle tracking, telematics, communication and advanced fleet management system.</w:t>
      </w:r>
    </w:p>
    <w:p w14:paraId="6E2AD6EB" w14:textId="5E90C790"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Chome</w:t>
      </w:r>
      <w:proofErr w:type="spellEnd"/>
      <w:r w:rsidRPr="001102EB">
        <w:rPr>
          <w:rFonts w:ascii="Times New Roman" w:hAnsi="Times New Roman" w:cs="Times New Roman"/>
          <w:sz w:val="22"/>
          <w:szCs w:val="22"/>
        </w:rPr>
        <w:t xml:space="preserve">, N., Gonçalves, E., Scoones, I., &amp; </w:t>
      </w:r>
      <w:proofErr w:type="spellStart"/>
      <w:r w:rsidRPr="001102EB">
        <w:rPr>
          <w:rFonts w:ascii="Times New Roman" w:hAnsi="Times New Roman" w:cs="Times New Roman"/>
          <w:sz w:val="22"/>
          <w:szCs w:val="22"/>
        </w:rPr>
        <w:t>Sulle</w:t>
      </w:r>
      <w:proofErr w:type="spellEnd"/>
      <w:r w:rsidRPr="001102EB">
        <w:rPr>
          <w:rFonts w:ascii="Times New Roman" w:hAnsi="Times New Roman" w:cs="Times New Roman"/>
          <w:sz w:val="22"/>
          <w:szCs w:val="22"/>
        </w:rPr>
        <w:t>, E. (2020). ‘Demonstration fields’, anticipation, and contestation: Agrarian change and the political economy of development corridors in Eastern Africa. Journal of Eastern African Studies, 14, 291</w:t>
      </w:r>
      <w:r w:rsidR="00DE614E">
        <w:rPr>
          <w:rFonts w:ascii="Times New Roman" w:hAnsi="Times New Roman" w:cs="Times New Roman"/>
          <w:sz w:val="22"/>
          <w:szCs w:val="22"/>
        </w:rPr>
        <w:t>-</w:t>
      </w:r>
      <w:r w:rsidRPr="001102EB">
        <w:rPr>
          <w:rFonts w:ascii="Times New Roman" w:hAnsi="Times New Roman" w:cs="Times New Roman"/>
          <w:sz w:val="22"/>
          <w:szCs w:val="22"/>
        </w:rPr>
        <w:t>309. https://doi.org/10.1080/17531055.2020.1743067</w:t>
      </w:r>
    </w:p>
    <w:p w14:paraId="7C83ED41" w14:textId="3F7EF83F"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 xml:space="preserve">Christ, N., &amp; </w:t>
      </w:r>
      <w:proofErr w:type="spellStart"/>
      <w:r w:rsidRPr="001102EB">
        <w:rPr>
          <w:rFonts w:ascii="Times New Roman" w:hAnsi="Times New Roman" w:cs="Times New Roman"/>
          <w:sz w:val="22"/>
          <w:szCs w:val="22"/>
        </w:rPr>
        <w:t>Ferrantino</w:t>
      </w:r>
      <w:proofErr w:type="spellEnd"/>
      <w:r w:rsidRPr="001102EB">
        <w:rPr>
          <w:rFonts w:ascii="Times New Roman" w:hAnsi="Times New Roman" w:cs="Times New Roman"/>
          <w:sz w:val="22"/>
          <w:szCs w:val="22"/>
        </w:rPr>
        <w:t>, M. (2011). Land transport for export: The effects of cost, time, and uncertainty in Sub-Saharan Africa. World Development, 39, 1749</w:t>
      </w:r>
      <w:r w:rsidR="00DE614E">
        <w:rPr>
          <w:rFonts w:ascii="Times New Roman" w:hAnsi="Times New Roman" w:cs="Times New Roman"/>
          <w:sz w:val="22"/>
          <w:szCs w:val="22"/>
        </w:rPr>
        <w:t>-</w:t>
      </w:r>
      <w:r w:rsidRPr="001102EB">
        <w:rPr>
          <w:rFonts w:ascii="Times New Roman" w:hAnsi="Times New Roman" w:cs="Times New Roman"/>
          <w:sz w:val="22"/>
          <w:szCs w:val="22"/>
        </w:rPr>
        <w:t>1759. https://doi.org/10.2139/ssrn.1483833</w:t>
      </w:r>
    </w:p>
    <w:p w14:paraId="6C31C86D"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Dakora</w:t>
      </w:r>
      <w:proofErr w:type="spellEnd"/>
      <w:r w:rsidRPr="001102EB">
        <w:rPr>
          <w:rFonts w:ascii="Times New Roman" w:hAnsi="Times New Roman" w:cs="Times New Roman"/>
          <w:sz w:val="22"/>
          <w:szCs w:val="22"/>
        </w:rPr>
        <w:t xml:space="preserve">, E., Omoruyi, O., &amp; </w:t>
      </w:r>
      <w:proofErr w:type="spellStart"/>
      <w:r w:rsidRPr="001102EB">
        <w:rPr>
          <w:rFonts w:ascii="Times New Roman" w:hAnsi="Times New Roman" w:cs="Times New Roman"/>
          <w:sz w:val="22"/>
          <w:szCs w:val="22"/>
        </w:rPr>
        <w:t>Khosa</w:t>
      </w:r>
      <w:proofErr w:type="spellEnd"/>
      <w:r w:rsidRPr="001102EB">
        <w:rPr>
          <w:rFonts w:ascii="Times New Roman" w:hAnsi="Times New Roman" w:cs="Times New Roman"/>
          <w:sz w:val="22"/>
          <w:szCs w:val="22"/>
        </w:rPr>
        <w:t>, R. (2023). Challenges of cross-border retail trade in Southern Africa: The case of Beitbridge Port of Entry between South Africa and Zimbabwe. https://doi.org/10.14293/sblunisa.2023a011.rk</w:t>
      </w:r>
    </w:p>
    <w:p w14:paraId="4CE2FA81"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Fitzmaurice, M., &amp; Hartmann, O. (2013). Border crossing monitoring along the Northern Corridor (pp. 1–60). https://doi.org/10.1596/16555</w:t>
      </w:r>
    </w:p>
    <w:p w14:paraId="3AB0F8E9"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Heinbach</w:t>
      </w:r>
      <w:proofErr w:type="spellEnd"/>
      <w:r w:rsidRPr="001102EB">
        <w:rPr>
          <w:rFonts w:ascii="Times New Roman" w:hAnsi="Times New Roman" w:cs="Times New Roman"/>
          <w:sz w:val="22"/>
          <w:szCs w:val="22"/>
        </w:rPr>
        <w:t>, C., Meier, P., &amp; Thomas, O. (2022). Designing a shared freight service intelligence platform for transport stakeholders using mobile telematics. Information Systems and e-Business Management, 20, 847–888. https://doi.org/10.1007/s10257-022-00572-5</w:t>
      </w:r>
    </w:p>
    <w:p w14:paraId="3249D883"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 xml:space="preserve">Hoffman, A., Grater, S., </w:t>
      </w:r>
      <w:proofErr w:type="spellStart"/>
      <w:r w:rsidRPr="001102EB">
        <w:rPr>
          <w:rFonts w:ascii="Times New Roman" w:hAnsi="Times New Roman" w:cs="Times New Roman"/>
          <w:sz w:val="22"/>
          <w:szCs w:val="22"/>
        </w:rPr>
        <w:t>Schaap</w:t>
      </w:r>
      <w:proofErr w:type="spellEnd"/>
      <w:r w:rsidRPr="001102EB">
        <w:rPr>
          <w:rFonts w:ascii="Times New Roman" w:hAnsi="Times New Roman" w:cs="Times New Roman"/>
          <w:sz w:val="22"/>
          <w:szCs w:val="22"/>
        </w:rPr>
        <w:t xml:space="preserve">, A., Maree, J., &amp; </w:t>
      </w:r>
      <w:proofErr w:type="spellStart"/>
      <w:r w:rsidRPr="001102EB">
        <w:rPr>
          <w:rFonts w:ascii="Times New Roman" w:hAnsi="Times New Roman" w:cs="Times New Roman"/>
          <w:sz w:val="22"/>
          <w:szCs w:val="22"/>
        </w:rPr>
        <w:t>Bhero</w:t>
      </w:r>
      <w:proofErr w:type="spellEnd"/>
      <w:r w:rsidRPr="001102EB">
        <w:rPr>
          <w:rFonts w:ascii="Times New Roman" w:hAnsi="Times New Roman" w:cs="Times New Roman"/>
          <w:sz w:val="22"/>
          <w:szCs w:val="22"/>
        </w:rPr>
        <w:t>, E. (2016). A simulation approach to reconciling customs and trade risk associated with cross-border freight movements. South African Journal of Industrial Engineering, 27, 251–264. https://doi.org/10.7166/27-3-1659</w:t>
      </w:r>
    </w:p>
    <w:p w14:paraId="5603F992"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 xml:space="preserve">Hoffman, A., </w:t>
      </w:r>
      <w:proofErr w:type="spellStart"/>
      <w:r w:rsidRPr="001102EB">
        <w:rPr>
          <w:rFonts w:ascii="Times New Roman" w:hAnsi="Times New Roman" w:cs="Times New Roman"/>
          <w:sz w:val="22"/>
          <w:szCs w:val="22"/>
        </w:rPr>
        <w:t>Mutendera</w:t>
      </w:r>
      <w:proofErr w:type="spellEnd"/>
      <w:r w:rsidRPr="001102EB">
        <w:rPr>
          <w:rFonts w:ascii="Times New Roman" w:hAnsi="Times New Roman" w:cs="Times New Roman"/>
          <w:sz w:val="22"/>
          <w:szCs w:val="22"/>
        </w:rPr>
        <w:t>, C., &amp; Venter, W. C. (2023). Comparing transport corridors based on total economic cost. Journal of Advanced Transportation. https://doi.org/10.1155/2023/6336630</w:t>
      </w:r>
    </w:p>
    <w:p w14:paraId="718A4A06"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 xml:space="preserve">Hoffman, A. J., </w:t>
      </w:r>
      <w:proofErr w:type="spellStart"/>
      <w:r w:rsidRPr="001102EB">
        <w:rPr>
          <w:rFonts w:ascii="Times New Roman" w:hAnsi="Times New Roman" w:cs="Times New Roman"/>
          <w:sz w:val="22"/>
          <w:szCs w:val="22"/>
        </w:rPr>
        <w:t>Mutendera</w:t>
      </w:r>
      <w:proofErr w:type="spellEnd"/>
      <w:r w:rsidRPr="001102EB">
        <w:rPr>
          <w:rFonts w:ascii="Times New Roman" w:hAnsi="Times New Roman" w:cs="Times New Roman"/>
          <w:sz w:val="22"/>
          <w:szCs w:val="22"/>
        </w:rPr>
        <w:t>, C., &amp; Venter, W. C. ATINER’s Conference Paper Series TRA2022-2751.</w:t>
      </w:r>
    </w:p>
    <w:p w14:paraId="6146CF46"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Huk</w:t>
      </w:r>
      <w:proofErr w:type="spellEnd"/>
      <w:r w:rsidRPr="001102EB">
        <w:rPr>
          <w:rFonts w:ascii="Times New Roman" w:hAnsi="Times New Roman" w:cs="Times New Roman"/>
          <w:sz w:val="22"/>
          <w:szCs w:val="22"/>
        </w:rPr>
        <w:t xml:space="preserve">, K., &amp; </w:t>
      </w:r>
      <w:proofErr w:type="spellStart"/>
      <w:r w:rsidRPr="001102EB">
        <w:rPr>
          <w:rFonts w:ascii="Times New Roman" w:hAnsi="Times New Roman" w:cs="Times New Roman"/>
          <w:sz w:val="22"/>
          <w:szCs w:val="22"/>
        </w:rPr>
        <w:t>Kurowski</w:t>
      </w:r>
      <w:proofErr w:type="spellEnd"/>
      <w:r w:rsidRPr="001102EB">
        <w:rPr>
          <w:rFonts w:ascii="Times New Roman" w:hAnsi="Times New Roman" w:cs="Times New Roman"/>
          <w:sz w:val="22"/>
          <w:szCs w:val="22"/>
        </w:rPr>
        <w:t>, M. (2021). The use of telematics systems in transport and forwarding management. 5th EAI International Conference on Management of Manufacturing Systems. https://doi.org/10.1007/978-3-030-67241-6_25</w:t>
      </w:r>
    </w:p>
    <w:p w14:paraId="748A9D73"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lastRenderedPageBreak/>
        <w:t xml:space="preserve">Ibrahim, A., </w:t>
      </w:r>
      <w:proofErr w:type="spellStart"/>
      <w:r w:rsidRPr="001102EB">
        <w:rPr>
          <w:rFonts w:ascii="Times New Roman" w:hAnsi="Times New Roman" w:cs="Times New Roman"/>
          <w:sz w:val="22"/>
          <w:szCs w:val="22"/>
        </w:rPr>
        <w:t>Nekesa</w:t>
      </w:r>
      <w:proofErr w:type="spellEnd"/>
      <w:r w:rsidRPr="001102EB">
        <w:rPr>
          <w:rFonts w:ascii="Times New Roman" w:hAnsi="Times New Roman" w:cs="Times New Roman"/>
          <w:sz w:val="22"/>
          <w:szCs w:val="22"/>
        </w:rPr>
        <w:t xml:space="preserve">, M., &amp; </w:t>
      </w:r>
      <w:proofErr w:type="spellStart"/>
      <w:r w:rsidRPr="001102EB">
        <w:rPr>
          <w:rFonts w:ascii="Times New Roman" w:hAnsi="Times New Roman" w:cs="Times New Roman"/>
          <w:sz w:val="22"/>
          <w:szCs w:val="22"/>
        </w:rPr>
        <w:t>Tarus</w:t>
      </w:r>
      <w:proofErr w:type="spellEnd"/>
      <w:r w:rsidRPr="001102EB">
        <w:rPr>
          <w:rFonts w:ascii="Times New Roman" w:hAnsi="Times New Roman" w:cs="Times New Roman"/>
          <w:sz w:val="22"/>
          <w:szCs w:val="22"/>
        </w:rPr>
        <w:t>, J. K. (2025). Moderating effect of tax morale on the relationship between electronic cargo tracking systems (ECTS) and trade facilitation in Kenya. Journal of Finance and Accounting. https://doi.org/10.70619/vol5iss7pp53-66-664</w:t>
      </w:r>
    </w:p>
    <w:p w14:paraId="04C729A3"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Kaaya, I. (2026). The impact of customs procedures on trade facilitation: Empirical evidence from Dar es Salaam Port, Tanzania. The Accountancy and Business Review. https://doi.org/10.59645/abr.v18i2.778</w:t>
      </w:r>
    </w:p>
    <w:p w14:paraId="6794F235"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 xml:space="preserve">Kinyua, N. N., Arani, W., &amp; </w:t>
      </w:r>
      <w:proofErr w:type="spellStart"/>
      <w:r w:rsidRPr="001102EB">
        <w:rPr>
          <w:rFonts w:ascii="Times New Roman" w:hAnsi="Times New Roman" w:cs="Times New Roman"/>
          <w:sz w:val="22"/>
          <w:szCs w:val="22"/>
        </w:rPr>
        <w:t>Egessa</w:t>
      </w:r>
      <w:proofErr w:type="spellEnd"/>
      <w:r w:rsidRPr="001102EB">
        <w:rPr>
          <w:rFonts w:ascii="Times New Roman" w:hAnsi="Times New Roman" w:cs="Times New Roman"/>
          <w:sz w:val="22"/>
          <w:szCs w:val="22"/>
        </w:rPr>
        <w:t>, M. M. (2024). Effect of fleet vehicle tracking on operational performance of road transporters in Mombasa County. Asian Business Research Journal. https://doi.org/10.55220/25766759.232</w:t>
      </w:r>
    </w:p>
    <w:p w14:paraId="581CCA99"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Kipkoech</w:t>
      </w:r>
      <w:proofErr w:type="spellEnd"/>
      <w:r w:rsidRPr="001102EB">
        <w:rPr>
          <w:rFonts w:ascii="Times New Roman" w:hAnsi="Times New Roman" w:cs="Times New Roman"/>
          <w:sz w:val="22"/>
          <w:szCs w:val="22"/>
        </w:rPr>
        <w:t xml:space="preserve">, C., &amp; </w:t>
      </w:r>
      <w:proofErr w:type="spellStart"/>
      <w:r w:rsidRPr="001102EB">
        <w:rPr>
          <w:rFonts w:ascii="Times New Roman" w:hAnsi="Times New Roman" w:cs="Times New Roman"/>
          <w:sz w:val="22"/>
          <w:szCs w:val="22"/>
        </w:rPr>
        <w:t>Mugambi</w:t>
      </w:r>
      <w:proofErr w:type="spellEnd"/>
      <w:r w:rsidRPr="001102EB">
        <w:rPr>
          <w:rFonts w:ascii="Times New Roman" w:hAnsi="Times New Roman" w:cs="Times New Roman"/>
          <w:sz w:val="22"/>
          <w:szCs w:val="22"/>
        </w:rPr>
        <w:t>, F. (2014). The influence of hinterland transport inefficiencies on the performance of ports: A case study of Kenya Ports Authority.</w:t>
      </w:r>
    </w:p>
    <w:p w14:paraId="63952646"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Kunaka</w:t>
      </w:r>
      <w:proofErr w:type="spellEnd"/>
      <w:r w:rsidRPr="001102EB">
        <w:rPr>
          <w:rFonts w:ascii="Times New Roman" w:hAnsi="Times New Roman" w:cs="Times New Roman"/>
          <w:sz w:val="22"/>
          <w:szCs w:val="22"/>
        </w:rPr>
        <w:t xml:space="preserve">, C., </w:t>
      </w:r>
      <w:proofErr w:type="spellStart"/>
      <w:r w:rsidRPr="001102EB">
        <w:rPr>
          <w:rFonts w:ascii="Times New Roman" w:hAnsi="Times New Roman" w:cs="Times New Roman"/>
          <w:sz w:val="22"/>
          <w:szCs w:val="22"/>
        </w:rPr>
        <w:t>Raballand</w:t>
      </w:r>
      <w:proofErr w:type="spellEnd"/>
      <w:r w:rsidRPr="001102EB">
        <w:rPr>
          <w:rFonts w:ascii="Times New Roman" w:hAnsi="Times New Roman" w:cs="Times New Roman"/>
          <w:sz w:val="22"/>
          <w:szCs w:val="22"/>
        </w:rPr>
        <w:t>, G., &amp; Fitzmaurice, M. (2016). How trucking services have improved and may contribute to economic development: The case of East Africa. https://doi.org/10.35188/unu-wider/2016/196-3</w:t>
      </w:r>
    </w:p>
    <w:p w14:paraId="6BEA2B56"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Kunambi</w:t>
      </w:r>
      <w:proofErr w:type="spellEnd"/>
      <w:r w:rsidRPr="001102EB">
        <w:rPr>
          <w:rFonts w:ascii="Times New Roman" w:hAnsi="Times New Roman" w:cs="Times New Roman"/>
          <w:sz w:val="22"/>
          <w:szCs w:val="22"/>
        </w:rPr>
        <w:t>, M. M., &amp; Zheng, H.-X. (2025). Optimizing African port hinterland connectivity using Markov processes, max-flow, and traffic flow models: A case study of Dar es Salaam Port. Applied Sciences. https://doi.org/10.3390/app15041966</w:t>
      </w:r>
    </w:p>
    <w:p w14:paraId="118D6F44"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Kuteyi</w:t>
      </w:r>
      <w:proofErr w:type="spellEnd"/>
      <w:r w:rsidRPr="001102EB">
        <w:rPr>
          <w:rFonts w:ascii="Times New Roman" w:hAnsi="Times New Roman" w:cs="Times New Roman"/>
          <w:sz w:val="22"/>
          <w:szCs w:val="22"/>
        </w:rPr>
        <w:t>, D., &amp; Winkler, H. (2022). Logistics challenges in Sub-Saharan Africa and opportunities for digitalization. Sustainability. https://doi.org/10.3390/su14042399</w:t>
      </w:r>
    </w:p>
    <w:p w14:paraId="79F24244"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 xml:space="preserve">Mary, S., &amp; </w:t>
      </w:r>
      <w:proofErr w:type="spellStart"/>
      <w:r w:rsidRPr="001102EB">
        <w:rPr>
          <w:rFonts w:ascii="Times New Roman" w:hAnsi="Times New Roman" w:cs="Times New Roman"/>
          <w:sz w:val="22"/>
          <w:szCs w:val="22"/>
        </w:rPr>
        <w:t>Mayengo</w:t>
      </w:r>
      <w:proofErr w:type="spellEnd"/>
      <w:r w:rsidRPr="001102EB">
        <w:rPr>
          <w:rFonts w:ascii="Times New Roman" w:hAnsi="Times New Roman" w:cs="Times New Roman"/>
          <w:sz w:val="22"/>
          <w:szCs w:val="22"/>
        </w:rPr>
        <w:t>, M. (2023). Web-based freight forwarding information system for logistics management in East Africa. International Journal for Multidisciplinary Research. https://doi.org/10.36948/ijfmr.2023.v05i01.1544</w:t>
      </w:r>
    </w:p>
    <w:p w14:paraId="5DE51E3E"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 xml:space="preserve">Mohamed, M., &amp; </w:t>
      </w:r>
      <w:proofErr w:type="spellStart"/>
      <w:r w:rsidRPr="001102EB">
        <w:rPr>
          <w:rFonts w:ascii="Times New Roman" w:hAnsi="Times New Roman" w:cs="Times New Roman"/>
          <w:sz w:val="22"/>
          <w:szCs w:val="22"/>
        </w:rPr>
        <w:t>Runyoro</w:t>
      </w:r>
      <w:proofErr w:type="spellEnd"/>
      <w:r w:rsidRPr="001102EB">
        <w:rPr>
          <w:rFonts w:ascii="Times New Roman" w:hAnsi="Times New Roman" w:cs="Times New Roman"/>
          <w:sz w:val="22"/>
          <w:szCs w:val="22"/>
        </w:rPr>
        <w:t>, A.-A. K. (2025). Effect of fuel management information systems (FMIS) on the operational performance of government vehicles in Tanzania. International Journal Papier Advance and Scientific Review. https://doi.org/10.47667/ijpasr.v6i2.408</w:t>
      </w:r>
    </w:p>
    <w:p w14:paraId="39C60DF6"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Morwa</w:t>
      </w:r>
      <w:proofErr w:type="spellEnd"/>
      <w:r w:rsidRPr="001102EB">
        <w:rPr>
          <w:rFonts w:ascii="Times New Roman" w:hAnsi="Times New Roman" w:cs="Times New Roman"/>
          <w:sz w:val="22"/>
          <w:szCs w:val="22"/>
        </w:rPr>
        <w:t xml:space="preserve">, B. M., &amp; </w:t>
      </w:r>
      <w:proofErr w:type="spellStart"/>
      <w:r w:rsidRPr="001102EB">
        <w:rPr>
          <w:rFonts w:ascii="Times New Roman" w:hAnsi="Times New Roman" w:cs="Times New Roman"/>
          <w:sz w:val="22"/>
          <w:szCs w:val="22"/>
        </w:rPr>
        <w:t>Ndilito</w:t>
      </w:r>
      <w:proofErr w:type="spellEnd"/>
      <w:r w:rsidRPr="001102EB">
        <w:rPr>
          <w:rFonts w:ascii="Times New Roman" w:hAnsi="Times New Roman" w:cs="Times New Roman"/>
          <w:sz w:val="22"/>
          <w:szCs w:val="22"/>
        </w:rPr>
        <w:t>, N. (2024). Trade effects of non-tariff barriers in Tanzania: A case of the Dar es Salaam–</w:t>
      </w:r>
      <w:proofErr w:type="spellStart"/>
      <w:r w:rsidRPr="001102EB">
        <w:rPr>
          <w:rFonts w:ascii="Times New Roman" w:hAnsi="Times New Roman" w:cs="Times New Roman"/>
          <w:sz w:val="22"/>
          <w:szCs w:val="22"/>
        </w:rPr>
        <w:t>Namanga</w:t>
      </w:r>
      <w:proofErr w:type="spellEnd"/>
      <w:r w:rsidRPr="001102EB">
        <w:rPr>
          <w:rFonts w:ascii="Times New Roman" w:hAnsi="Times New Roman" w:cs="Times New Roman"/>
          <w:sz w:val="22"/>
          <w:szCs w:val="22"/>
        </w:rPr>
        <w:t xml:space="preserve"> busy border trade post. African Scientific Annual Review. https://doi.org/10.51867/asarev.econ.1.1.10</w:t>
      </w:r>
    </w:p>
    <w:p w14:paraId="7E125D3F"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O.,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E. (2025). Evaluating port-to-ICD logistical bottlenecks and their impact on customs clearance delays at EX NASACO Inland Container Depot, Tanzania. Social Science and Humanities Journal. https://doi.org/10.18535/sshj.v9i09.1972</w:t>
      </w:r>
    </w:p>
    <w:p w14:paraId="219033A6"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Raphael, C. (2025). Digitalization of logistics in East Africa: Potentials and bottlenecks. Science Mundi. https://doi.org/10.51867/scimundi.5.2.39</w:t>
      </w:r>
    </w:p>
    <w:p w14:paraId="341A213A" w14:textId="77777777" w:rsidR="00121769" w:rsidRPr="001102EB" w:rsidRDefault="00000000">
      <w:pPr>
        <w:pStyle w:val="BodyText"/>
        <w:spacing w:after="160" w:line="264" w:lineRule="auto"/>
        <w:ind w:left="360" w:hanging="360"/>
        <w:jc w:val="left"/>
        <w:rPr>
          <w:rFonts w:ascii="Times New Roman" w:hAnsi="Times New Roman" w:cs="Times New Roman"/>
          <w:sz w:val="22"/>
          <w:szCs w:val="22"/>
        </w:rPr>
      </w:pPr>
      <w:r w:rsidRPr="001102EB">
        <w:rPr>
          <w:rFonts w:ascii="Times New Roman" w:hAnsi="Times New Roman" w:cs="Times New Roman"/>
          <w:sz w:val="22"/>
          <w:szCs w:val="22"/>
        </w:rPr>
        <w:t>Victor, L. J. (2025). Fleet telematics: Transforming transportation through data-driven solutions. World Journal of Advanced Research and Reviews. https://doi.org/10.30574/wjarr.2025.26.1.1568</w:t>
      </w:r>
    </w:p>
    <w:p w14:paraId="69797134" w14:textId="77777777" w:rsidR="00121769" w:rsidRPr="001102EB" w:rsidRDefault="00000000">
      <w:pPr>
        <w:rPr>
          <w:rFonts w:ascii="Times New Roman" w:hAnsi="Times New Roman" w:cs="Times New Roman"/>
          <w:sz w:val="22"/>
          <w:szCs w:val="22"/>
        </w:rPr>
      </w:pPr>
      <w:r w:rsidRPr="001102EB">
        <w:rPr>
          <w:rFonts w:ascii="Times New Roman" w:hAnsi="Times New Roman" w:cs="Times New Roman"/>
          <w:sz w:val="22"/>
          <w:szCs w:val="22"/>
        </w:rPr>
        <w:br w:type="page"/>
      </w:r>
    </w:p>
    <w:p w14:paraId="72F8CE80" w14:textId="6A7B250F" w:rsidR="00121769" w:rsidRPr="001102EB" w:rsidRDefault="00000000">
      <w:pPr>
        <w:pStyle w:val="Heading1"/>
        <w:rPr>
          <w:rFonts w:ascii="Times New Roman" w:hAnsi="Times New Roman" w:cs="Times New Roman"/>
          <w:sz w:val="22"/>
          <w:szCs w:val="22"/>
        </w:rPr>
      </w:pPr>
      <w:bookmarkStart w:id="23" w:name="_Toc240747765"/>
      <w:r w:rsidRPr="001102EB">
        <w:rPr>
          <w:rFonts w:ascii="Times New Roman" w:hAnsi="Times New Roman" w:cs="Times New Roman"/>
          <w:sz w:val="22"/>
          <w:szCs w:val="22"/>
        </w:rPr>
        <w:lastRenderedPageBreak/>
        <w:t xml:space="preserve">Appendix A </w:t>
      </w:r>
      <w:r w:rsidR="001102EB">
        <w:rPr>
          <w:rFonts w:ascii="Times New Roman" w:hAnsi="Times New Roman" w:cs="Times New Roman"/>
          <w:sz w:val="22"/>
          <w:szCs w:val="22"/>
        </w:rPr>
        <w:t>-</w:t>
      </w:r>
      <w:r w:rsidRPr="001102EB">
        <w:rPr>
          <w:rFonts w:ascii="Times New Roman" w:hAnsi="Times New Roman" w:cs="Times New Roman"/>
          <w:sz w:val="22"/>
          <w:szCs w:val="22"/>
        </w:rPr>
        <w:t xml:space="preserve"> Quantified Findings Register</w:t>
      </w:r>
      <w:bookmarkEnd w:id="23"/>
    </w:p>
    <w:p w14:paraId="4E16F2F2" w14:textId="77777777" w:rsidR="00121769" w:rsidRPr="001102EB" w:rsidRDefault="00000000">
      <w:pPr>
        <w:pStyle w:val="BodyText"/>
        <w:rPr>
          <w:rFonts w:ascii="Times New Roman" w:hAnsi="Times New Roman" w:cs="Times New Roman"/>
          <w:sz w:val="22"/>
          <w:szCs w:val="22"/>
        </w:rPr>
      </w:pPr>
      <w:r w:rsidRPr="001102EB">
        <w:rPr>
          <w:rFonts w:ascii="Times New Roman" w:hAnsi="Times New Roman" w:cs="Times New Roman"/>
          <w:sz w:val="22"/>
          <w:szCs w:val="22"/>
        </w:rPr>
        <w:t>Every numeric claim used in this document, with its source and the setting in which it was measured.</w:t>
      </w:r>
    </w:p>
    <w:p w14:paraId="6172FDDC" w14:textId="77777777" w:rsidR="00121769" w:rsidRPr="001102EB" w:rsidRDefault="00121769">
      <w:pPr>
        <w:spacing w:after="80"/>
        <w:rPr>
          <w:rFonts w:ascii="Times New Roman" w:hAnsi="Times New Roman" w:cs="Times New Roman"/>
          <w:sz w:val="22"/>
          <w:szCs w:val="22"/>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00"/>
        <w:gridCol w:w="2100"/>
        <w:gridCol w:w="1920"/>
      </w:tblGrid>
      <w:tr w:rsidR="00121769" w:rsidRPr="001102EB" w14:paraId="7FFF5F07" w14:textId="77777777">
        <w:trPr>
          <w:tblHeader/>
        </w:trPr>
        <w:tc>
          <w:tcPr>
            <w:tcW w:w="33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1381D9D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Finding</w:t>
            </w:r>
          </w:p>
        </w:tc>
        <w:tc>
          <w:tcPr>
            <w:tcW w:w="17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778F86D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Value</w:t>
            </w:r>
          </w:p>
        </w:tc>
        <w:tc>
          <w:tcPr>
            <w:tcW w:w="21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5834CF9A"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Setting</w:t>
            </w:r>
          </w:p>
        </w:tc>
        <w:tc>
          <w:tcPr>
            <w:tcW w:w="19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7D0D3D8E"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Source</w:t>
            </w:r>
          </w:p>
        </w:tc>
      </w:tr>
      <w:tr w:rsidR="00121769" w:rsidRPr="001102EB" w14:paraId="744F1E4B" w14:textId="77777777">
        <w:tc>
          <w:tcPr>
            <w:tcW w:w="33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2ED85D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Share of total corridor cost attributable to delay variability in ineffective corridors</w:t>
            </w:r>
          </w:p>
        </w:tc>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D34F534"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Up to 80%</w:t>
            </w:r>
          </w:p>
        </w:tc>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3AFB325"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Comparative corridor modelling</w:t>
            </w:r>
          </w:p>
        </w:tc>
        <w:tc>
          <w:tcPr>
            <w:tcW w:w="19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6786889"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Hoffman et al. (2023)</w:t>
            </w:r>
          </w:p>
        </w:tc>
      </w:tr>
      <w:tr w:rsidR="00121769" w:rsidRPr="001102EB" w14:paraId="6036E3C1" w14:textId="77777777">
        <w:tc>
          <w:tcPr>
            <w:tcW w:w="33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A4A0AE0"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Reduction in customs processing time with reliable digital logistics use</w:t>
            </w:r>
          </w:p>
        </w:tc>
        <w:tc>
          <w:tcPr>
            <w:tcW w:w="1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58FEEF2"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4.12 hours</w:t>
            </w:r>
          </w:p>
        </w:tc>
        <w:tc>
          <w:tcPr>
            <w:tcW w:w="21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DCE7CE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East Africa</w:t>
            </w:r>
          </w:p>
        </w:tc>
        <w:tc>
          <w:tcPr>
            <w:tcW w:w="19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59A6C3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Raphael (2025)</w:t>
            </w:r>
          </w:p>
        </w:tc>
      </w:tr>
      <w:tr w:rsidR="00121769" w:rsidRPr="001102EB" w14:paraId="674DD5B0" w14:textId="77777777">
        <w:tc>
          <w:tcPr>
            <w:tcW w:w="33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4CC588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Reduction in port dwell time with reliable digital logistics use</w:t>
            </w:r>
          </w:p>
        </w:tc>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E6CFEB9"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1.25 days</w:t>
            </w:r>
          </w:p>
        </w:tc>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674C43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East Africa</w:t>
            </w:r>
          </w:p>
        </w:tc>
        <w:tc>
          <w:tcPr>
            <w:tcW w:w="19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89856F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Raphael (2025)</w:t>
            </w:r>
          </w:p>
        </w:tc>
      </w:tr>
      <w:tr w:rsidR="00121769" w:rsidRPr="001102EB" w14:paraId="6F7AE6C4" w14:textId="77777777">
        <w:tc>
          <w:tcPr>
            <w:tcW w:w="33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00BC07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Reduction in cargo transit time with reliable digital logistics use</w:t>
            </w:r>
          </w:p>
        </w:tc>
        <w:tc>
          <w:tcPr>
            <w:tcW w:w="1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DE374EA"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3.15 days</w:t>
            </w:r>
          </w:p>
        </w:tc>
        <w:tc>
          <w:tcPr>
            <w:tcW w:w="21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A090D20"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East Africa</w:t>
            </w:r>
          </w:p>
        </w:tc>
        <w:tc>
          <w:tcPr>
            <w:tcW w:w="19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8494F7B"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Raphael (2025)</w:t>
            </w:r>
          </w:p>
        </w:tc>
      </w:tr>
      <w:tr w:rsidR="00121769" w:rsidRPr="001102EB" w14:paraId="0AA7232E" w14:textId="77777777">
        <w:tc>
          <w:tcPr>
            <w:tcW w:w="33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8F3D92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Added dwell per one-point rise in perceived logistical inefficiency</w:t>
            </w:r>
          </w:p>
        </w:tc>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DDF637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0.28 days</w:t>
            </w:r>
          </w:p>
        </w:tc>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DF6ECED"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EX NASACO ICD, Tanzania</w:t>
            </w:r>
          </w:p>
        </w:tc>
        <w:tc>
          <w:tcPr>
            <w:tcW w:w="19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4EBF1C7" w14:textId="77777777" w:rsidR="00121769" w:rsidRPr="001102EB" w:rsidRDefault="00000000">
            <w:pPr>
              <w:spacing w:before="70" w:after="70" w:line="252" w:lineRule="auto"/>
              <w:rPr>
                <w:rFonts w:ascii="Times New Roman" w:hAnsi="Times New Roman" w:cs="Times New Roman"/>
                <w:sz w:val="22"/>
                <w:szCs w:val="22"/>
              </w:rPr>
            </w:pP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xml:space="preserve"> (2025)</w:t>
            </w:r>
          </w:p>
        </w:tc>
      </w:tr>
      <w:tr w:rsidR="00121769" w:rsidRPr="001102EB" w14:paraId="22323DE5" w14:textId="77777777">
        <w:tc>
          <w:tcPr>
            <w:tcW w:w="33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8FD64EA"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Respondents reporting cargo-handling delays of four days or more</w:t>
            </w:r>
          </w:p>
        </w:tc>
        <w:tc>
          <w:tcPr>
            <w:tcW w:w="1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C15509B"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Over 70%</w:t>
            </w:r>
          </w:p>
        </w:tc>
        <w:tc>
          <w:tcPr>
            <w:tcW w:w="21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8C21DDB"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Dar es Salaam Port</w:t>
            </w:r>
          </w:p>
        </w:tc>
        <w:tc>
          <w:tcPr>
            <w:tcW w:w="19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A002256" w14:textId="77777777" w:rsidR="00121769" w:rsidRPr="001102EB" w:rsidRDefault="00000000">
            <w:pPr>
              <w:spacing w:before="70" w:after="70" w:line="252" w:lineRule="auto"/>
              <w:rPr>
                <w:rFonts w:ascii="Times New Roman" w:hAnsi="Times New Roman" w:cs="Times New Roman"/>
                <w:sz w:val="22"/>
                <w:szCs w:val="22"/>
              </w:rPr>
            </w:pPr>
            <w:proofErr w:type="spellStart"/>
            <w:r w:rsidRPr="001102EB">
              <w:rPr>
                <w:rFonts w:ascii="Times New Roman" w:hAnsi="Times New Roman" w:cs="Times New Roman"/>
                <w:sz w:val="22"/>
                <w:szCs w:val="22"/>
              </w:rPr>
              <w:t>Chadenyile</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Kassembe</w:t>
            </w:r>
            <w:proofErr w:type="spellEnd"/>
            <w:r w:rsidRPr="001102EB">
              <w:rPr>
                <w:rFonts w:ascii="Times New Roman" w:hAnsi="Times New Roman" w:cs="Times New Roman"/>
                <w:sz w:val="22"/>
                <w:szCs w:val="22"/>
              </w:rPr>
              <w:t xml:space="preserve"> (2025)</w:t>
            </w:r>
          </w:p>
        </w:tc>
      </w:tr>
      <w:tr w:rsidR="00121769" w:rsidRPr="001102EB" w14:paraId="41296ABE" w14:textId="77777777">
        <w:tc>
          <w:tcPr>
            <w:tcW w:w="33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C7D4F4E"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Average cross-border delay reduction from combined analytics and telematics</w:t>
            </w:r>
          </w:p>
        </w:tc>
        <w:tc>
          <w:tcPr>
            <w:tcW w:w="1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E5870B9"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~1 day (80–90% in some workflows)</w:t>
            </w:r>
          </w:p>
        </w:tc>
        <w:tc>
          <w:tcPr>
            <w:tcW w:w="21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51E9601E"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Southern Africa, simulation</w:t>
            </w:r>
          </w:p>
        </w:tc>
        <w:tc>
          <w:tcPr>
            <w:tcW w:w="19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11942EF"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Hoffman et al. (2016)</w:t>
            </w:r>
          </w:p>
        </w:tc>
      </w:tr>
    </w:tbl>
    <w:p w14:paraId="6CF0E366" w14:textId="77777777" w:rsidR="00121769" w:rsidRPr="001102EB" w:rsidRDefault="00000000">
      <w:pPr>
        <w:spacing w:before="120" w:after="260"/>
        <w:rPr>
          <w:rFonts w:ascii="Times New Roman" w:hAnsi="Times New Roman" w:cs="Times New Roman"/>
          <w:sz w:val="22"/>
          <w:szCs w:val="22"/>
        </w:rPr>
      </w:pPr>
      <w:r w:rsidRPr="001102EB">
        <w:rPr>
          <w:rFonts w:ascii="Times New Roman" w:hAnsi="Times New Roman" w:cs="Times New Roman"/>
          <w:i/>
          <w:iCs/>
          <w:color w:val="596A73"/>
          <w:sz w:val="22"/>
          <w:szCs w:val="22"/>
        </w:rPr>
        <w:t>Table A1.  Quantified findings register. Simulation-derived and adoption-conditional figures should be read as upper bounds.</w:t>
      </w:r>
    </w:p>
    <w:p w14:paraId="7050A654" w14:textId="0B68F9EE" w:rsidR="00121769" w:rsidRPr="001102EB" w:rsidRDefault="00000000">
      <w:pPr>
        <w:pStyle w:val="Heading1"/>
        <w:rPr>
          <w:rFonts w:ascii="Times New Roman" w:hAnsi="Times New Roman" w:cs="Times New Roman"/>
          <w:sz w:val="22"/>
          <w:szCs w:val="22"/>
        </w:rPr>
      </w:pPr>
      <w:bookmarkStart w:id="24" w:name="_Toc240747766"/>
      <w:r w:rsidRPr="001102EB">
        <w:rPr>
          <w:rFonts w:ascii="Times New Roman" w:hAnsi="Times New Roman" w:cs="Times New Roman"/>
          <w:sz w:val="22"/>
          <w:szCs w:val="22"/>
        </w:rPr>
        <w:t xml:space="preserve">Appendix B </w:t>
      </w:r>
      <w:r w:rsidR="001102EB">
        <w:rPr>
          <w:rFonts w:ascii="Times New Roman" w:hAnsi="Times New Roman" w:cs="Times New Roman"/>
          <w:sz w:val="22"/>
          <w:szCs w:val="22"/>
        </w:rPr>
        <w:t xml:space="preserve">- </w:t>
      </w:r>
      <w:r w:rsidRPr="001102EB">
        <w:rPr>
          <w:rFonts w:ascii="Times New Roman" w:hAnsi="Times New Roman" w:cs="Times New Roman"/>
          <w:sz w:val="22"/>
          <w:szCs w:val="22"/>
        </w:rPr>
        <w:t>Evidence Strength by Claim</w:t>
      </w:r>
      <w:bookmarkEnd w:id="24"/>
    </w:p>
    <w:p w14:paraId="6109E278" w14:textId="77777777" w:rsidR="00121769" w:rsidRPr="001102EB" w:rsidRDefault="00121769">
      <w:pPr>
        <w:spacing w:after="40"/>
        <w:rPr>
          <w:rFonts w:ascii="Times New Roman" w:hAnsi="Times New Roman" w:cs="Times New Roman"/>
          <w:sz w:val="22"/>
          <w:szCs w:val="22"/>
        </w:rPr>
      </w:pPr>
    </w:p>
    <w:tbl>
      <w:tblPr>
        <w:tblW w:w="90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20"/>
        <w:gridCol w:w="1800"/>
      </w:tblGrid>
      <w:tr w:rsidR="00121769" w:rsidRPr="001102EB" w14:paraId="43E1240D" w14:textId="77777777">
        <w:trPr>
          <w:tblHeader/>
        </w:trPr>
        <w:tc>
          <w:tcPr>
            <w:tcW w:w="27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5341FC78"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Claim</w:t>
            </w:r>
          </w:p>
        </w:tc>
        <w:tc>
          <w:tcPr>
            <w:tcW w:w="452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257F707F"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Supporting sources</w:t>
            </w:r>
          </w:p>
        </w:tc>
        <w:tc>
          <w:tcPr>
            <w:tcW w:w="1800" w:type="dxa"/>
            <w:tcBorders>
              <w:top w:val="none" w:sz="0" w:space="0" w:color="FFFFFF"/>
              <w:left w:val="none" w:sz="0" w:space="0" w:color="FFFFFF"/>
              <w:bottom w:val="none" w:sz="0" w:space="0" w:color="FFFFFF"/>
              <w:right w:val="none" w:sz="0" w:space="0" w:color="FFFFFF"/>
            </w:tcBorders>
            <w:shd w:val="clear" w:color="auto" w:fill="0B3C49"/>
            <w:tcMar>
              <w:top w:w="90" w:type="dxa"/>
              <w:left w:w="130" w:type="dxa"/>
              <w:bottom w:w="90" w:type="dxa"/>
              <w:right w:w="130" w:type="dxa"/>
            </w:tcMar>
            <w:vAlign w:val="center"/>
          </w:tcPr>
          <w:p w14:paraId="250B7701"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FFFFFF"/>
                <w:sz w:val="22"/>
                <w:szCs w:val="22"/>
              </w:rPr>
              <w:t>Strength</w:t>
            </w:r>
          </w:p>
        </w:tc>
      </w:tr>
      <w:tr w:rsidR="00121769" w:rsidRPr="001102EB" w14:paraId="0A639B36" w14:textId="77777777">
        <w:tc>
          <w:tcPr>
            <w:tcW w:w="2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F30D387"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Corridor delay and delay variability are economically material</w:t>
            </w:r>
          </w:p>
        </w:tc>
        <w:tc>
          <w:tcPr>
            <w:tcW w:w="45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F2F9C7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Christ &amp; </w:t>
            </w:r>
            <w:proofErr w:type="spellStart"/>
            <w:r w:rsidRPr="001102EB">
              <w:rPr>
                <w:rFonts w:ascii="Times New Roman" w:hAnsi="Times New Roman" w:cs="Times New Roman"/>
                <w:sz w:val="22"/>
                <w:szCs w:val="22"/>
              </w:rPr>
              <w:t>Ferrantino</w:t>
            </w:r>
            <w:proofErr w:type="spellEnd"/>
            <w:r w:rsidRPr="001102EB">
              <w:rPr>
                <w:rFonts w:ascii="Times New Roman" w:hAnsi="Times New Roman" w:cs="Times New Roman"/>
                <w:sz w:val="22"/>
                <w:szCs w:val="22"/>
              </w:rPr>
              <w:t xml:space="preserve"> (2011); Hoffman et al. (2023); </w:t>
            </w:r>
            <w:proofErr w:type="spellStart"/>
            <w:r w:rsidRPr="001102EB">
              <w:rPr>
                <w:rFonts w:ascii="Times New Roman" w:hAnsi="Times New Roman" w:cs="Times New Roman"/>
                <w:sz w:val="22"/>
                <w:szCs w:val="22"/>
              </w:rPr>
              <w:t>Kuteyi</w:t>
            </w:r>
            <w:proofErr w:type="spellEnd"/>
            <w:r w:rsidRPr="001102EB">
              <w:rPr>
                <w:rFonts w:ascii="Times New Roman" w:hAnsi="Times New Roman" w:cs="Times New Roman"/>
                <w:sz w:val="22"/>
                <w:szCs w:val="22"/>
              </w:rPr>
              <w:t xml:space="preserve"> &amp; Winkler (2022)</w:t>
            </w:r>
          </w:p>
        </w:tc>
        <w:tc>
          <w:tcPr>
            <w:tcW w:w="18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609334F6"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Strong</w:t>
            </w:r>
          </w:p>
        </w:tc>
      </w:tr>
      <w:tr w:rsidR="00121769" w:rsidRPr="001102EB" w14:paraId="283857F8" w14:textId="77777777">
        <w:tc>
          <w:tcPr>
            <w:tcW w:w="2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A4611ED"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lastRenderedPageBreak/>
              <w:t>Ports are a central bottleneck in the cost structure</w:t>
            </w:r>
          </w:p>
        </w:tc>
        <w:tc>
          <w:tcPr>
            <w:tcW w:w="45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D2A8A7C"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Hoffman et al. (2023); </w:t>
            </w:r>
            <w:proofErr w:type="spellStart"/>
            <w:r w:rsidRPr="001102EB">
              <w:rPr>
                <w:rFonts w:ascii="Times New Roman" w:hAnsi="Times New Roman" w:cs="Times New Roman"/>
                <w:sz w:val="22"/>
                <w:szCs w:val="22"/>
              </w:rPr>
              <w:t>Kunambi</w:t>
            </w:r>
            <w:proofErr w:type="spellEnd"/>
            <w:r w:rsidRPr="001102EB">
              <w:rPr>
                <w:rFonts w:ascii="Times New Roman" w:hAnsi="Times New Roman" w:cs="Times New Roman"/>
                <w:sz w:val="22"/>
                <w:szCs w:val="22"/>
              </w:rPr>
              <w:t xml:space="preserve"> &amp; Zheng (2025); </w:t>
            </w:r>
            <w:proofErr w:type="spellStart"/>
            <w:r w:rsidRPr="001102EB">
              <w:rPr>
                <w:rFonts w:ascii="Times New Roman" w:hAnsi="Times New Roman" w:cs="Times New Roman"/>
                <w:sz w:val="22"/>
                <w:szCs w:val="22"/>
              </w:rPr>
              <w:t>Kipkoech</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Mugambi</w:t>
            </w:r>
            <w:proofErr w:type="spellEnd"/>
            <w:r w:rsidRPr="001102EB">
              <w:rPr>
                <w:rFonts w:ascii="Times New Roman" w:hAnsi="Times New Roman" w:cs="Times New Roman"/>
                <w:sz w:val="22"/>
                <w:szCs w:val="22"/>
              </w:rPr>
              <w:t xml:space="preserve"> (2014); </w:t>
            </w:r>
            <w:proofErr w:type="spellStart"/>
            <w:r w:rsidRPr="001102EB">
              <w:rPr>
                <w:rFonts w:ascii="Times New Roman" w:hAnsi="Times New Roman" w:cs="Times New Roman"/>
                <w:sz w:val="22"/>
                <w:szCs w:val="22"/>
              </w:rPr>
              <w:t>Chadenyile</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Kassembe</w:t>
            </w:r>
            <w:proofErr w:type="spellEnd"/>
            <w:r w:rsidRPr="001102EB">
              <w:rPr>
                <w:rFonts w:ascii="Times New Roman" w:hAnsi="Times New Roman" w:cs="Times New Roman"/>
                <w:sz w:val="22"/>
                <w:szCs w:val="22"/>
              </w:rPr>
              <w:t xml:space="preserve"> (2025)</w:t>
            </w:r>
          </w:p>
        </w:tc>
        <w:tc>
          <w:tcPr>
            <w:tcW w:w="18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40FABA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Strong</w:t>
            </w:r>
          </w:p>
        </w:tc>
      </w:tr>
      <w:tr w:rsidR="00121769" w:rsidRPr="001102EB" w14:paraId="621118C1" w14:textId="77777777">
        <w:tc>
          <w:tcPr>
            <w:tcW w:w="2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1493911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Borders, weighbridges and road frictions compound port delay</w:t>
            </w:r>
          </w:p>
        </w:tc>
        <w:tc>
          <w:tcPr>
            <w:tcW w:w="45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C31406B" w14:textId="77777777" w:rsidR="00121769" w:rsidRPr="001102EB" w:rsidRDefault="00000000">
            <w:pPr>
              <w:spacing w:before="70" w:after="70" w:line="252" w:lineRule="auto"/>
              <w:rPr>
                <w:rFonts w:ascii="Times New Roman" w:hAnsi="Times New Roman" w:cs="Times New Roman"/>
                <w:sz w:val="22"/>
                <w:szCs w:val="22"/>
              </w:rPr>
            </w:pPr>
            <w:proofErr w:type="spellStart"/>
            <w:r w:rsidRPr="001102EB">
              <w:rPr>
                <w:rFonts w:ascii="Times New Roman" w:hAnsi="Times New Roman" w:cs="Times New Roman"/>
                <w:sz w:val="22"/>
                <w:szCs w:val="22"/>
              </w:rPr>
              <w:t>Morwa</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Ndilito</w:t>
            </w:r>
            <w:proofErr w:type="spellEnd"/>
            <w:r w:rsidRPr="001102EB">
              <w:rPr>
                <w:rFonts w:ascii="Times New Roman" w:hAnsi="Times New Roman" w:cs="Times New Roman"/>
                <w:sz w:val="22"/>
                <w:szCs w:val="22"/>
              </w:rPr>
              <w:t xml:space="preserve"> (2024); Fitzmaurice &amp; Hartmann (2013); </w:t>
            </w:r>
            <w:proofErr w:type="spellStart"/>
            <w:r w:rsidRPr="001102EB">
              <w:rPr>
                <w:rFonts w:ascii="Times New Roman" w:hAnsi="Times New Roman" w:cs="Times New Roman"/>
                <w:sz w:val="22"/>
                <w:szCs w:val="22"/>
              </w:rPr>
              <w:t>Dakora</w:t>
            </w:r>
            <w:proofErr w:type="spellEnd"/>
            <w:r w:rsidRPr="001102EB">
              <w:rPr>
                <w:rFonts w:ascii="Times New Roman" w:hAnsi="Times New Roman" w:cs="Times New Roman"/>
                <w:sz w:val="22"/>
                <w:szCs w:val="22"/>
              </w:rPr>
              <w:t xml:space="preserve"> et al. (2023)</w:t>
            </w:r>
          </w:p>
        </w:tc>
        <w:tc>
          <w:tcPr>
            <w:tcW w:w="18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88143C2"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Strong</w:t>
            </w:r>
          </w:p>
        </w:tc>
      </w:tr>
      <w:tr w:rsidR="00121769" w:rsidRPr="001102EB" w14:paraId="1844013D" w14:textId="77777777">
        <w:tc>
          <w:tcPr>
            <w:tcW w:w="2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44EF958E"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Telematics can reliably generate corridor event states</w:t>
            </w:r>
          </w:p>
        </w:tc>
        <w:tc>
          <w:tcPr>
            <w:tcW w:w="45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649429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Brits &amp; </w:t>
            </w:r>
            <w:proofErr w:type="spellStart"/>
            <w:r w:rsidRPr="001102EB">
              <w:rPr>
                <w:rFonts w:ascii="Times New Roman" w:hAnsi="Times New Roman" w:cs="Times New Roman"/>
                <w:sz w:val="22"/>
                <w:szCs w:val="22"/>
              </w:rPr>
              <w:t>Waiyaki</w:t>
            </w:r>
            <w:proofErr w:type="spellEnd"/>
            <w:r w:rsidRPr="001102EB">
              <w:rPr>
                <w:rFonts w:ascii="Times New Roman" w:hAnsi="Times New Roman" w:cs="Times New Roman"/>
                <w:sz w:val="22"/>
                <w:szCs w:val="22"/>
              </w:rPr>
              <w:t xml:space="preserve"> (2015); </w:t>
            </w:r>
            <w:proofErr w:type="spellStart"/>
            <w:r w:rsidRPr="001102EB">
              <w:rPr>
                <w:rFonts w:ascii="Times New Roman" w:hAnsi="Times New Roman" w:cs="Times New Roman"/>
                <w:sz w:val="22"/>
                <w:szCs w:val="22"/>
              </w:rPr>
              <w:t>Charanaraj</w:t>
            </w:r>
            <w:proofErr w:type="spellEnd"/>
            <w:r w:rsidRPr="001102EB">
              <w:rPr>
                <w:rFonts w:ascii="Times New Roman" w:hAnsi="Times New Roman" w:cs="Times New Roman"/>
                <w:sz w:val="22"/>
                <w:szCs w:val="22"/>
              </w:rPr>
              <w:t xml:space="preserve"> et al. (2019); Victor (2025)</w:t>
            </w:r>
          </w:p>
        </w:tc>
        <w:tc>
          <w:tcPr>
            <w:tcW w:w="18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338BE10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Strong</w:t>
            </w:r>
          </w:p>
        </w:tc>
      </w:tr>
      <w:tr w:rsidR="00121769" w:rsidRPr="001102EB" w14:paraId="53BD9533" w14:textId="77777777">
        <w:tc>
          <w:tcPr>
            <w:tcW w:w="2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3F05023"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Tracking improves transporter operational performance</w:t>
            </w:r>
          </w:p>
        </w:tc>
        <w:tc>
          <w:tcPr>
            <w:tcW w:w="45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353F136D"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Kinyua et al. (2024); Mohamed &amp; </w:t>
            </w:r>
            <w:proofErr w:type="spellStart"/>
            <w:r w:rsidRPr="001102EB">
              <w:rPr>
                <w:rFonts w:ascii="Times New Roman" w:hAnsi="Times New Roman" w:cs="Times New Roman"/>
                <w:sz w:val="22"/>
                <w:szCs w:val="22"/>
              </w:rPr>
              <w:t>Runyoro</w:t>
            </w:r>
            <w:proofErr w:type="spellEnd"/>
            <w:r w:rsidRPr="001102EB">
              <w:rPr>
                <w:rFonts w:ascii="Times New Roman" w:hAnsi="Times New Roman" w:cs="Times New Roman"/>
                <w:sz w:val="22"/>
                <w:szCs w:val="22"/>
              </w:rPr>
              <w:t xml:space="preserve"> (2025)</w:t>
            </w:r>
          </w:p>
        </w:tc>
        <w:tc>
          <w:tcPr>
            <w:tcW w:w="18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4FD905BA"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Moderate to strong</w:t>
            </w:r>
          </w:p>
        </w:tc>
      </w:tr>
      <w:tr w:rsidR="00121769" w:rsidRPr="001102EB" w14:paraId="54DBB28E" w14:textId="77777777">
        <w:tc>
          <w:tcPr>
            <w:tcW w:w="2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2B119D32"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Coordination tools reduce waiting without capital expenditure</w:t>
            </w:r>
          </w:p>
        </w:tc>
        <w:tc>
          <w:tcPr>
            <w:tcW w:w="45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5DC84E92" w14:textId="77777777" w:rsidR="00121769" w:rsidRPr="001102EB" w:rsidRDefault="00000000">
            <w:pPr>
              <w:spacing w:before="70" w:after="70" w:line="252" w:lineRule="auto"/>
              <w:rPr>
                <w:rFonts w:ascii="Times New Roman" w:hAnsi="Times New Roman" w:cs="Times New Roman"/>
                <w:sz w:val="22"/>
                <w:szCs w:val="22"/>
              </w:rPr>
            </w:pP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xml:space="preserve"> (2025)</w:t>
            </w:r>
          </w:p>
        </w:tc>
        <w:tc>
          <w:tcPr>
            <w:tcW w:w="18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87B14D9"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Moderate</w:t>
            </w:r>
          </w:p>
        </w:tc>
      </w:tr>
      <w:tr w:rsidR="00121769" w:rsidRPr="001102EB" w14:paraId="0EC9AB5A" w14:textId="77777777">
        <w:tc>
          <w:tcPr>
            <w:tcW w:w="27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0B5DD6BE"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Fragmented governance and interoperability are the binding risks</w:t>
            </w:r>
          </w:p>
        </w:tc>
        <w:tc>
          <w:tcPr>
            <w:tcW w:w="452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2A03F2BE"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 xml:space="preserve">Raphael (2025); </w:t>
            </w:r>
            <w:proofErr w:type="spellStart"/>
            <w:r w:rsidRPr="001102EB">
              <w:rPr>
                <w:rFonts w:ascii="Times New Roman" w:hAnsi="Times New Roman" w:cs="Times New Roman"/>
                <w:sz w:val="22"/>
                <w:szCs w:val="22"/>
              </w:rPr>
              <w:t>Nguvumali</w:t>
            </w:r>
            <w:proofErr w:type="spellEnd"/>
            <w:r w:rsidRPr="001102EB">
              <w:rPr>
                <w:rFonts w:ascii="Times New Roman" w:hAnsi="Times New Roman" w:cs="Times New Roman"/>
                <w:sz w:val="22"/>
                <w:szCs w:val="22"/>
              </w:rPr>
              <w:t xml:space="preserve"> &amp; </w:t>
            </w:r>
            <w:proofErr w:type="spellStart"/>
            <w:r w:rsidRPr="001102EB">
              <w:rPr>
                <w:rFonts w:ascii="Times New Roman" w:hAnsi="Times New Roman" w:cs="Times New Roman"/>
                <w:sz w:val="22"/>
                <w:szCs w:val="22"/>
              </w:rPr>
              <w:t>Kasembe</w:t>
            </w:r>
            <w:proofErr w:type="spellEnd"/>
            <w:r w:rsidRPr="001102EB">
              <w:rPr>
                <w:rFonts w:ascii="Times New Roman" w:hAnsi="Times New Roman" w:cs="Times New Roman"/>
                <w:sz w:val="22"/>
                <w:szCs w:val="22"/>
              </w:rPr>
              <w:t xml:space="preserve"> (2025); Kaaya (2026); </w:t>
            </w:r>
            <w:proofErr w:type="spellStart"/>
            <w:r w:rsidRPr="001102EB">
              <w:rPr>
                <w:rFonts w:ascii="Times New Roman" w:hAnsi="Times New Roman" w:cs="Times New Roman"/>
                <w:sz w:val="22"/>
                <w:szCs w:val="22"/>
              </w:rPr>
              <w:t>Chome</w:t>
            </w:r>
            <w:proofErr w:type="spellEnd"/>
            <w:r w:rsidRPr="001102EB">
              <w:rPr>
                <w:rFonts w:ascii="Times New Roman" w:hAnsi="Times New Roman" w:cs="Times New Roman"/>
                <w:sz w:val="22"/>
                <w:szCs w:val="22"/>
              </w:rPr>
              <w:t xml:space="preserve"> et al. (2020); </w:t>
            </w:r>
            <w:proofErr w:type="spellStart"/>
            <w:r w:rsidRPr="001102EB">
              <w:rPr>
                <w:rFonts w:ascii="Times New Roman" w:hAnsi="Times New Roman" w:cs="Times New Roman"/>
                <w:sz w:val="22"/>
                <w:szCs w:val="22"/>
              </w:rPr>
              <w:t>Aalders</w:t>
            </w:r>
            <w:proofErr w:type="spellEnd"/>
            <w:r w:rsidRPr="001102EB">
              <w:rPr>
                <w:rFonts w:ascii="Times New Roman" w:hAnsi="Times New Roman" w:cs="Times New Roman"/>
                <w:sz w:val="22"/>
                <w:szCs w:val="22"/>
              </w:rPr>
              <w:t xml:space="preserve"> et al. (2021)</w:t>
            </w:r>
          </w:p>
        </w:tc>
        <w:tc>
          <w:tcPr>
            <w:tcW w:w="1800" w:type="dxa"/>
            <w:tcBorders>
              <w:top w:val="single" w:sz="2" w:space="0" w:color="C9D8DB"/>
              <w:left w:val="none" w:sz="0" w:space="0" w:color="FFFFFF"/>
              <w:bottom w:val="single" w:sz="2" w:space="0" w:color="C9D8DB"/>
              <w:right w:val="none" w:sz="0" w:space="0" w:color="FFFFFF"/>
            </w:tcBorders>
            <w:tcMar>
              <w:top w:w="90" w:type="dxa"/>
              <w:left w:w="130" w:type="dxa"/>
              <w:bottom w:w="90" w:type="dxa"/>
              <w:right w:w="130" w:type="dxa"/>
            </w:tcMar>
            <w:vAlign w:val="center"/>
          </w:tcPr>
          <w:p w14:paraId="748433F1"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Strong</w:t>
            </w:r>
          </w:p>
        </w:tc>
      </w:tr>
      <w:tr w:rsidR="00121769" w:rsidRPr="001102EB" w14:paraId="2F73CFF1" w14:textId="77777777">
        <w:tc>
          <w:tcPr>
            <w:tcW w:w="27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9BF467A"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b/>
                <w:bCs/>
                <w:color w:val="0B3C49"/>
                <w:sz w:val="22"/>
                <w:szCs w:val="22"/>
              </w:rPr>
              <w:t>Corridor-specific predictive analytics deliver operational value</w:t>
            </w:r>
          </w:p>
        </w:tc>
        <w:tc>
          <w:tcPr>
            <w:tcW w:w="452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69FFABA8" w14:textId="77777777" w:rsidR="00121769" w:rsidRPr="001102EB" w:rsidRDefault="00000000">
            <w:pPr>
              <w:spacing w:before="70" w:after="70" w:line="252" w:lineRule="auto"/>
              <w:rPr>
                <w:rFonts w:ascii="Times New Roman" w:hAnsi="Times New Roman" w:cs="Times New Roman"/>
                <w:sz w:val="22"/>
                <w:szCs w:val="22"/>
              </w:rPr>
            </w:pPr>
            <w:proofErr w:type="spellStart"/>
            <w:r w:rsidRPr="001102EB">
              <w:rPr>
                <w:rFonts w:ascii="Times New Roman" w:hAnsi="Times New Roman" w:cs="Times New Roman"/>
                <w:sz w:val="22"/>
                <w:szCs w:val="22"/>
              </w:rPr>
              <w:t>Kunambi</w:t>
            </w:r>
            <w:proofErr w:type="spellEnd"/>
            <w:r w:rsidRPr="001102EB">
              <w:rPr>
                <w:rFonts w:ascii="Times New Roman" w:hAnsi="Times New Roman" w:cs="Times New Roman"/>
                <w:sz w:val="22"/>
                <w:szCs w:val="22"/>
              </w:rPr>
              <w:t xml:space="preserve"> &amp; Zheng (2025); Ibrahim et al. (2025)</w:t>
            </w:r>
          </w:p>
        </w:tc>
        <w:tc>
          <w:tcPr>
            <w:tcW w:w="1800" w:type="dxa"/>
            <w:tcBorders>
              <w:top w:val="single" w:sz="2" w:space="0" w:color="C9D8DB"/>
              <w:left w:val="none" w:sz="0" w:space="0" w:color="FFFFFF"/>
              <w:bottom w:val="single" w:sz="2" w:space="0" w:color="C9D8DB"/>
              <w:right w:val="none" w:sz="0" w:space="0" w:color="FFFFFF"/>
            </w:tcBorders>
            <w:shd w:val="clear" w:color="auto" w:fill="EDF4F5"/>
            <w:tcMar>
              <w:top w:w="90" w:type="dxa"/>
              <w:left w:w="130" w:type="dxa"/>
              <w:bottom w:w="90" w:type="dxa"/>
              <w:right w:w="130" w:type="dxa"/>
            </w:tcMar>
            <w:vAlign w:val="center"/>
          </w:tcPr>
          <w:p w14:paraId="1069371B" w14:textId="77777777" w:rsidR="00121769" w:rsidRPr="001102EB" w:rsidRDefault="00000000">
            <w:pPr>
              <w:spacing w:before="70" w:after="70" w:line="252" w:lineRule="auto"/>
              <w:rPr>
                <w:rFonts w:ascii="Times New Roman" w:hAnsi="Times New Roman" w:cs="Times New Roman"/>
                <w:sz w:val="22"/>
                <w:szCs w:val="22"/>
              </w:rPr>
            </w:pPr>
            <w:r w:rsidRPr="001102EB">
              <w:rPr>
                <w:rFonts w:ascii="Times New Roman" w:hAnsi="Times New Roman" w:cs="Times New Roman"/>
                <w:sz w:val="22"/>
                <w:szCs w:val="22"/>
              </w:rPr>
              <w:t>Moderate</w:t>
            </w:r>
          </w:p>
        </w:tc>
      </w:tr>
    </w:tbl>
    <w:p w14:paraId="08FD0ED2" w14:textId="77777777" w:rsidR="00121769" w:rsidRPr="001102EB" w:rsidRDefault="00000000">
      <w:pPr>
        <w:spacing w:before="120" w:after="260"/>
        <w:rPr>
          <w:rFonts w:ascii="Times New Roman" w:hAnsi="Times New Roman" w:cs="Times New Roman"/>
          <w:sz w:val="22"/>
          <w:szCs w:val="22"/>
        </w:rPr>
      </w:pPr>
      <w:r w:rsidRPr="001102EB">
        <w:rPr>
          <w:rFonts w:ascii="Times New Roman" w:hAnsi="Times New Roman" w:cs="Times New Roman"/>
          <w:i/>
          <w:iCs/>
          <w:color w:val="596A73"/>
          <w:sz w:val="22"/>
          <w:szCs w:val="22"/>
        </w:rPr>
        <w:t>Table B1.  Evidence strength by claim across the twenty-seven reviewed sources.</w:t>
      </w:r>
    </w:p>
    <w:p w14:paraId="6F2E3F97" w14:textId="77777777" w:rsidR="00121769" w:rsidRPr="001102EB" w:rsidRDefault="00121769">
      <w:pPr>
        <w:spacing w:after="200"/>
        <w:rPr>
          <w:rFonts w:ascii="Times New Roman" w:hAnsi="Times New Roman" w:cs="Times New Roman"/>
          <w:sz w:val="22"/>
          <w:szCs w:val="22"/>
        </w:rPr>
      </w:pPr>
    </w:p>
    <w:p w14:paraId="5C4A71A0" w14:textId="4D9905C8" w:rsidR="00121769" w:rsidRPr="001102EB" w:rsidRDefault="00000000">
      <w:pPr>
        <w:pBdr>
          <w:top w:val="single" w:sz="6" w:space="10" w:color="C9D8DB"/>
        </w:pBdr>
        <w:spacing w:before="200"/>
        <w:rPr>
          <w:rFonts w:ascii="Times New Roman" w:hAnsi="Times New Roman" w:cs="Times New Roman"/>
          <w:sz w:val="22"/>
          <w:szCs w:val="22"/>
        </w:rPr>
      </w:pPr>
      <w:r w:rsidRPr="001102EB">
        <w:rPr>
          <w:rFonts w:ascii="Times New Roman" w:hAnsi="Times New Roman" w:cs="Times New Roman"/>
          <w:i/>
          <w:iCs/>
          <w:color w:val="596A73"/>
          <w:sz w:val="22"/>
          <w:szCs w:val="22"/>
        </w:rPr>
        <w:t>Source screening for this review was conducted using Consensus</w:t>
      </w:r>
      <w:r w:rsidR="00DE614E">
        <w:rPr>
          <w:rFonts w:ascii="Times New Roman" w:hAnsi="Times New Roman" w:cs="Times New Roman"/>
          <w:i/>
          <w:iCs/>
          <w:color w:val="596A73"/>
          <w:sz w:val="22"/>
          <w:szCs w:val="22"/>
        </w:rPr>
        <w:t xml:space="preserve"> re</w:t>
      </w:r>
      <w:r w:rsidRPr="001102EB">
        <w:rPr>
          <w:rFonts w:ascii="Times New Roman" w:hAnsi="Times New Roman" w:cs="Times New Roman"/>
          <w:i/>
          <w:iCs/>
          <w:color w:val="596A73"/>
          <w:sz w:val="22"/>
          <w:szCs w:val="22"/>
        </w:rPr>
        <w:t>search engine</w:t>
      </w:r>
      <w:r w:rsidR="001102EB">
        <w:rPr>
          <w:rFonts w:ascii="Times New Roman" w:hAnsi="Times New Roman" w:cs="Times New Roman"/>
          <w:i/>
          <w:iCs/>
          <w:color w:val="596A73"/>
          <w:sz w:val="22"/>
          <w:szCs w:val="22"/>
        </w:rPr>
        <w:t>, ResearchGate and Google</w:t>
      </w:r>
      <w:r w:rsidRPr="001102EB">
        <w:rPr>
          <w:rFonts w:ascii="Times New Roman" w:hAnsi="Times New Roman" w:cs="Times New Roman"/>
          <w:i/>
          <w:iCs/>
          <w:color w:val="596A73"/>
          <w:sz w:val="22"/>
          <w:szCs w:val="22"/>
        </w:rPr>
        <w:t>. All sources are cited individually above and should be consulted in the original.</w:t>
      </w:r>
    </w:p>
    <w:sectPr w:rsidR="00121769" w:rsidRPr="001102EB" w:rsidSect="00F73FD0">
      <w:headerReference w:type="default" r:id="rId9"/>
      <w:footerReference w:type="default" r:id="rId10"/>
      <w:headerReference w:type="first" r:id="rId11"/>
      <w:footerReference w:type="first" r:id="rId12"/>
      <w:pgSz w:w="11906" w:h="16838"/>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FC16B" w14:textId="77777777" w:rsidR="008E0DCA" w:rsidRDefault="008E0DCA">
      <w:pPr>
        <w:spacing w:after="0" w:line="240" w:lineRule="auto"/>
      </w:pPr>
      <w:r>
        <w:separator/>
      </w:r>
    </w:p>
  </w:endnote>
  <w:endnote w:type="continuationSeparator" w:id="0">
    <w:p w14:paraId="6FA8BDE4" w14:textId="77777777" w:rsidR="008E0DCA" w:rsidRDefault="008E0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84D14" w14:textId="4ED1A4C5" w:rsidR="00121769" w:rsidRDefault="003C6DFC" w:rsidP="003C6DFC">
    <w:pPr>
      <w:tabs>
        <w:tab w:val="left" w:pos="510"/>
        <w:tab w:val="right" w:pos="9026"/>
      </w:tabs>
    </w:pPr>
    <w:r>
      <w:rPr>
        <w:color w:val="596A73"/>
        <w:sz w:val="17"/>
        <w:szCs w:val="17"/>
      </w:rPr>
      <w:tab/>
      <w:t>Turnaround Team - Confidential</w:t>
    </w:r>
    <w:r>
      <w:rPr>
        <w:color w:val="596A73"/>
        <w:sz w:val="17"/>
        <w:szCs w:val="17"/>
      </w:rPr>
      <w:tab/>
    </w:r>
    <w:r>
      <w:rPr>
        <w:color w:val="596A73"/>
        <w:sz w:val="17"/>
        <w:szCs w:val="17"/>
      </w:rPr>
      <w:fldChar w:fldCharType="begin"/>
    </w:r>
    <w:r>
      <w:rPr>
        <w:color w:val="596A73"/>
        <w:sz w:val="17"/>
        <w:szCs w:val="17"/>
      </w:rPr>
      <w:instrText>PAGE</w:instrText>
    </w:r>
    <w:r>
      <w:rPr>
        <w:color w:val="596A73"/>
        <w:sz w:val="17"/>
        <w:szCs w:val="17"/>
      </w:rPr>
      <w:fldChar w:fldCharType="separate"/>
    </w:r>
    <w:r w:rsidR="001102EB">
      <w:rPr>
        <w:noProof/>
        <w:color w:val="596A73"/>
        <w:sz w:val="17"/>
        <w:szCs w:val="17"/>
      </w:rPr>
      <w:t>2</w:t>
    </w:r>
    <w:r>
      <w:rPr>
        <w:color w:val="596A73"/>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C6790" w14:textId="77777777" w:rsidR="00121769" w:rsidRDefault="00000000">
    <w:r>
      <w:rPr>
        <w:i/>
        <w:iCs/>
        <w:color w:val="596A73"/>
        <w:sz w:val="16"/>
        <w:szCs w:val="16"/>
      </w:rPr>
      <w:t>Prepared for internal strategy and product planning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32ACA" w14:textId="77777777" w:rsidR="008E0DCA" w:rsidRDefault="008E0DCA">
      <w:pPr>
        <w:spacing w:after="0" w:line="240" w:lineRule="auto"/>
      </w:pPr>
      <w:r>
        <w:separator/>
      </w:r>
    </w:p>
  </w:footnote>
  <w:footnote w:type="continuationSeparator" w:id="0">
    <w:p w14:paraId="375B5D34" w14:textId="77777777" w:rsidR="008E0DCA" w:rsidRDefault="008E0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9F708" w14:textId="71637177" w:rsidR="00121769" w:rsidRPr="00373663" w:rsidRDefault="00373663" w:rsidP="00373663">
    <w:pPr>
      <w:pBdr>
        <w:bottom w:val="single" w:sz="4" w:space="6" w:color="C9D8DB"/>
      </w:pBdr>
      <w:spacing w:after="220"/>
      <w:jc w:val="right"/>
      <w:rPr>
        <w:color w:val="215E99" w:themeColor="text2" w:themeTint="BF"/>
        <w:sz w:val="22"/>
        <w:szCs w:val="22"/>
      </w:rPr>
    </w:pPr>
    <w:r>
      <w:rPr>
        <w:b/>
        <w:bCs/>
        <w:color w:val="215E99" w:themeColor="text2" w:themeTint="BF"/>
        <w:sz w:val="22"/>
        <w:szCs w:val="22"/>
      </w:rPr>
      <w:t>Turnaround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BEBA0" w14:textId="77777777" w:rsidR="003C6DFC" w:rsidRDefault="003C6D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94513"/>
    <w:multiLevelType w:val="hybridMultilevel"/>
    <w:tmpl w:val="61EACE3A"/>
    <w:lvl w:ilvl="0" w:tplc="089A76F8">
      <w:start w:val="1"/>
      <w:numFmt w:val="bullet"/>
      <w:lvlText w:val="•"/>
      <w:lvlJc w:val="left"/>
      <w:pPr>
        <w:ind w:left="460" w:hanging="260"/>
      </w:pPr>
      <w:rPr>
        <w:color w:val="117A65"/>
        <w:sz w:val="22"/>
        <w:szCs w:val="22"/>
      </w:rPr>
    </w:lvl>
    <w:lvl w:ilvl="1" w:tplc="74183960">
      <w:numFmt w:val="decimal"/>
      <w:lvlText w:val=""/>
      <w:lvlJc w:val="left"/>
    </w:lvl>
    <w:lvl w:ilvl="2" w:tplc="61D80770">
      <w:numFmt w:val="decimal"/>
      <w:lvlText w:val=""/>
      <w:lvlJc w:val="left"/>
    </w:lvl>
    <w:lvl w:ilvl="3" w:tplc="C8B09AE0">
      <w:numFmt w:val="decimal"/>
      <w:lvlText w:val=""/>
      <w:lvlJc w:val="left"/>
    </w:lvl>
    <w:lvl w:ilvl="4" w:tplc="FF5E6540">
      <w:numFmt w:val="decimal"/>
      <w:lvlText w:val=""/>
      <w:lvlJc w:val="left"/>
    </w:lvl>
    <w:lvl w:ilvl="5" w:tplc="E452AB0A">
      <w:numFmt w:val="decimal"/>
      <w:lvlText w:val=""/>
      <w:lvlJc w:val="left"/>
    </w:lvl>
    <w:lvl w:ilvl="6" w:tplc="0B529488">
      <w:numFmt w:val="decimal"/>
      <w:lvlText w:val=""/>
      <w:lvlJc w:val="left"/>
    </w:lvl>
    <w:lvl w:ilvl="7" w:tplc="AFA49CFA">
      <w:numFmt w:val="decimal"/>
      <w:lvlText w:val=""/>
      <w:lvlJc w:val="left"/>
    </w:lvl>
    <w:lvl w:ilvl="8" w:tplc="B2E47FB8">
      <w:numFmt w:val="decimal"/>
      <w:lvlText w:val=""/>
      <w:lvlJc w:val="left"/>
    </w:lvl>
  </w:abstractNum>
  <w:abstractNum w:abstractNumId="1" w15:restartNumberingAfterBreak="0">
    <w:nsid w:val="1B497C39"/>
    <w:multiLevelType w:val="hybridMultilevel"/>
    <w:tmpl w:val="E5D0178A"/>
    <w:lvl w:ilvl="0" w:tplc="6D3874AC">
      <w:start w:val="1"/>
      <w:numFmt w:val="bullet"/>
      <w:lvlText w:val="●"/>
      <w:lvlJc w:val="left"/>
      <w:pPr>
        <w:ind w:left="720" w:hanging="360"/>
      </w:pPr>
    </w:lvl>
    <w:lvl w:ilvl="1" w:tplc="8ED4D7EA">
      <w:start w:val="1"/>
      <w:numFmt w:val="bullet"/>
      <w:lvlText w:val="○"/>
      <w:lvlJc w:val="left"/>
      <w:pPr>
        <w:ind w:left="1440" w:hanging="360"/>
      </w:pPr>
    </w:lvl>
    <w:lvl w:ilvl="2" w:tplc="E86053E2">
      <w:start w:val="1"/>
      <w:numFmt w:val="bullet"/>
      <w:lvlText w:val="■"/>
      <w:lvlJc w:val="left"/>
      <w:pPr>
        <w:ind w:left="2160" w:hanging="360"/>
      </w:pPr>
    </w:lvl>
    <w:lvl w:ilvl="3" w:tplc="8D7EB65A">
      <w:start w:val="1"/>
      <w:numFmt w:val="bullet"/>
      <w:lvlText w:val="●"/>
      <w:lvlJc w:val="left"/>
      <w:pPr>
        <w:ind w:left="2880" w:hanging="360"/>
      </w:pPr>
    </w:lvl>
    <w:lvl w:ilvl="4" w:tplc="3DD6B0A6">
      <w:start w:val="1"/>
      <w:numFmt w:val="bullet"/>
      <w:lvlText w:val="○"/>
      <w:lvlJc w:val="left"/>
      <w:pPr>
        <w:ind w:left="3600" w:hanging="360"/>
      </w:pPr>
    </w:lvl>
    <w:lvl w:ilvl="5" w:tplc="634CC5FC">
      <w:start w:val="1"/>
      <w:numFmt w:val="bullet"/>
      <w:lvlText w:val="■"/>
      <w:lvlJc w:val="left"/>
      <w:pPr>
        <w:ind w:left="4320" w:hanging="360"/>
      </w:pPr>
    </w:lvl>
    <w:lvl w:ilvl="6" w:tplc="CA5267A2">
      <w:start w:val="1"/>
      <w:numFmt w:val="bullet"/>
      <w:lvlText w:val="●"/>
      <w:lvlJc w:val="left"/>
      <w:pPr>
        <w:ind w:left="5040" w:hanging="360"/>
      </w:pPr>
    </w:lvl>
    <w:lvl w:ilvl="7" w:tplc="3416897C">
      <w:start w:val="1"/>
      <w:numFmt w:val="bullet"/>
      <w:lvlText w:val="●"/>
      <w:lvlJc w:val="left"/>
      <w:pPr>
        <w:ind w:left="5760" w:hanging="360"/>
      </w:pPr>
    </w:lvl>
    <w:lvl w:ilvl="8" w:tplc="DC44DA56">
      <w:start w:val="1"/>
      <w:numFmt w:val="bullet"/>
      <w:lvlText w:val="●"/>
      <w:lvlJc w:val="left"/>
      <w:pPr>
        <w:ind w:left="6480" w:hanging="360"/>
      </w:pPr>
    </w:lvl>
  </w:abstractNum>
  <w:abstractNum w:abstractNumId="2" w15:restartNumberingAfterBreak="0">
    <w:nsid w:val="627E595C"/>
    <w:multiLevelType w:val="hybridMultilevel"/>
    <w:tmpl w:val="AEF0D720"/>
    <w:lvl w:ilvl="0" w:tplc="8372234E">
      <w:start w:val="1"/>
      <w:numFmt w:val="decimal"/>
      <w:lvlText w:val="%1."/>
      <w:lvlJc w:val="left"/>
      <w:pPr>
        <w:ind w:left="460" w:hanging="260"/>
      </w:pPr>
      <w:rPr>
        <w:b/>
        <w:bCs/>
        <w:color w:val="117A65"/>
      </w:rPr>
    </w:lvl>
    <w:lvl w:ilvl="1" w:tplc="D8721862">
      <w:numFmt w:val="decimal"/>
      <w:lvlText w:val=""/>
      <w:lvlJc w:val="left"/>
    </w:lvl>
    <w:lvl w:ilvl="2" w:tplc="BB50A556">
      <w:numFmt w:val="decimal"/>
      <w:lvlText w:val=""/>
      <w:lvlJc w:val="left"/>
    </w:lvl>
    <w:lvl w:ilvl="3" w:tplc="4E9AEC10">
      <w:numFmt w:val="decimal"/>
      <w:lvlText w:val=""/>
      <w:lvlJc w:val="left"/>
    </w:lvl>
    <w:lvl w:ilvl="4" w:tplc="C1E8843E">
      <w:numFmt w:val="decimal"/>
      <w:lvlText w:val=""/>
      <w:lvlJc w:val="left"/>
    </w:lvl>
    <w:lvl w:ilvl="5" w:tplc="B4BE584C">
      <w:numFmt w:val="decimal"/>
      <w:lvlText w:val=""/>
      <w:lvlJc w:val="left"/>
    </w:lvl>
    <w:lvl w:ilvl="6" w:tplc="ECDC3E66">
      <w:numFmt w:val="decimal"/>
      <w:lvlText w:val=""/>
      <w:lvlJc w:val="left"/>
    </w:lvl>
    <w:lvl w:ilvl="7" w:tplc="373447C6">
      <w:numFmt w:val="decimal"/>
      <w:lvlText w:val=""/>
      <w:lvlJc w:val="left"/>
    </w:lvl>
    <w:lvl w:ilvl="8" w:tplc="F4889978">
      <w:numFmt w:val="decimal"/>
      <w:lvlText w:val=""/>
      <w:lvlJc w:val="left"/>
    </w:lvl>
  </w:abstractNum>
  <w:num w:numId="1" w16cid:durableId="1441949137">
    <w:abstractNumId w:val="1"/>
    <w:lvlOverride w:ilvl="0">
      <w:startOverride w:val="1"/>
    </w:lvlOverride>
  </w:num>
  <w:num w:numId="2" w16cid:durableId="1048649039">
    <w:abstractNumId w:val="2"/>
    <w:lvlOverride w:ilvl="0">
      <w:startOverride w:val="1"/>
    </w:lvlOverride>
  </w:num>
  <w:num w:numId="3" w16cid:durableId="2008559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769"/>
    <w:rsid w:val="001102EB"/>
    <w:rsid w:val="00121769"/>
    <w:rsid w:val="00200081"/>
    <w:rsid w:val="00284147"/>
    <w:rsid w:val="00373663"/>
    <w:rsid w:val="0038071D"/>
    <w:rsid w:val="003879F1"/>
    <w:rsid w:val="003C6DFC"/>
    <w:rsid w:val="006D5829"/>
    <w:rsid w:val="006D5C72"/>
    <w:rsid w:val="006F1C2A"/>
    <w:rsid w:val="008B29E5"/>
    <w:rsid w:val="008E0DCA"/>
    <w:rsid w:val="00975934"/>
    <w:rsid w:val="00A530A1"/>
    <w:rsid w:val="00A84782"/>
    <w:rsid w:val="00DE614E"/>
    <w:rsid w:val="00F73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5110C"/>
  <w15:docId w15:val="{3597439B-4553-4E5A-95DC-CA9FF5C10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B2B2B"/>
        <w:sz w:val="21"/>
        <w:szCs w:val="21"/>
        <w:lang w:val="en-US"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8" w:space="8" w:color="C9D8DB"/>
      </w:pBdr>
      <w:spacing w:before="420" w:after="200"/>
      <w:outlineLvl w:val="0"/>
    </w:pPr>
    <w:rPr>
      <w:rFonts w:ascii="Cambria" w:eastAsia="Cambria" w:hAnsi="Cambria" w:cs="Cambria"/>
      <w:b/>
      <w:bCs/>
      <w:color w:val="0B3C49"/>
      <w:sz w:val="30"/>
      <w:szCs w:val="30"/>
    </w:rPr>
  </w:style>
  <w:style w:type="paragraph" w:styleId="Heading2">
    <w:name w:val="heading 2"/>
    <w:uiPriority w:val="9"/>
    <w:unhideWhenUsed/>
    <w:qFormat/>
    <w:pPr>
      <w:spacing w:before="300" w:after="130"/>
      <w:outlineLvl w:val="1"/>
    </w:pPr>
    <w:rPr>
      <w:rFonts w:ascii="Cambria" w:eastAsia="Cambria" w:hAnsi="Cambria" w:cs="Cambria"/>
      <w:b/>
      <w:bCs/>
      <w:color w:val="117A65"/>
      <w:sz w:val="24"/>
      <w:szCs w:val="24"/>
    </w:rPr>
  </w:style>
  <w:style w:type="paragraph" w:styleId="Heading3">
    <w:name w:val="heading 3"/>
    <w:uiPriority w:val="9"/>
    <w:unhideWhenUsed/>
    <w:qFormat/>
    <w:pPr>
      <w:spacing w:before="220" w:after="100"/>
      <w:outlineLvl w:val="2"/>
    </w:pPr>
    <w:rPr>
      <w:rFonts w:ascii="Cambria" w:eastAsia="Cambria" w:hAnsi="Cambria" w:cs="Cambria"/>
      <w:b/>
      <w:bCs/>
      <w:color w:val="0B3C4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link w:val="BodyTextChar"/>
    <w:qFormat/>
    <w:pPr>
      <w:spacing w:after="180"/>
      <w:jc w:val="both"/>
    </w:pPr>
  </w:style>
  <w:style w:type="paragraph" w:styleId="TOCHeading">
    <w:name w:val="TOC Heading"/>
    <w:basedOn w:val="Heading1"/>
    <w:next w:val="Normal"/>
    <w:uiPriority w:val="39"/>
    <w:unhideWhenUsed/>
    <w:qFormat/>
    <w:rsid w:val="001102EB"/>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102EB"/>
    <w:pPr>
      <w:spacing w:after="100"/>
    </w:pPr>
  </w:style>
  <w:style w:type="paragraph" w:styleId="TOC2">
    <w:name w:val="toc 2"/>
    <w:basedOn w:val="Normal"/>
    <w:next w:val="Normal"/>
    <w:autoRedefine/>
    <w:uiPriority w:val="39"/>
    <w:unhideWhenUsed/>
    <w:rsid w:val="001102EB"/>
    <w:pPr>
      <w:spacing w:after="100"/>
      <w:ind w:left="210"/>
    </w:pPr>
  </w:style>
  <w:style w:type="paragraph" w:styleId="TOC3">
    <w:name w:val="toc 3"/>
    <w:basedOn w:val="Normal"/>
    <w:next w:val="Normal"/>
    <w:autoRedefine/>
    <w:uiPriority w:val="39"/>
    <w:unhideWhenUsed/>
    <w:rsid w:val="001102EB"/>
    <w:pPr>
      <w:spacing w:after="100"/>
      <w:ind w:left="420"/>
    </w:pPr>
  </w:style>
  <w:style w:type="table" w:styleId="GridTable4-Accent4">
    <w:name w:val="Grid Table 4 Accent 4"/>
    <w:basedOn w:val="TableNormal"/>
    <w:uiPriority w:val="49"/>
    <w:rsid w:val="008B29E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F73F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FD0"/>
  </w:style>
  <w:style w:type="paragraph" w:styleId="Footer">
    <w:name w:val="footer"/>
    <w:basedOn w:val="Normal"/>
    <w:link w:val="FooterChar"/>
    <w:uiPriority w:val="99"/>
    <w:unhideWhenUsed/>
    <w:rsid w:val="00F73F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FD0"/>
  </w:style>
  <w:style w:type="character" w:customStyle="1" w:styleId="Heading1Char">
    <w:name w:val="Heading 1 Char"/>
    <w:basedOn w:val="DefaultParagraphFont"/>
    <w:link w:val="Heading1"/>
    <w:uiPriority w:val="9"/>
    <w:rsid w:val="00DE614E"/>
    <w:rPr>
      <w:rFonts w:ascii="Cambria" w:eastAsia="Cambria" w:hAnsi="Cambria" w:cs="Cambria"/>
      <w:b/>
      <w:bCs/>
      <w:color w:val="0B3C49"/>
      <w:sz w:val="30"/>
      <w:szCs w:val="30"/>
    </w:rPr>
  </w:style>
  <w:style w:type="character" w:customStyle="1" w:styleId="BodyTextChar">
    <w:name w:val="Body Text Char"/>
    <w:basedOn w:val="DefaultParagraphFont"/>
    <w:link w:val="BodyText"/>
    <w:rsid w:val="00DE6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776DB-7268-4104-80E4-131FDD0D5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17</Pages>
  <Words>5321</Words>
  <Characters>30332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Research Validation of Turnaround for East African Corridor Logistics</vt:lpstr>
    </vt:vector>
  </TitlesOfParts>
  <Company/>
  <LinksUpToDate>false</LinksUpToDate>
  <CharactersWithSpaces>35582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Validation of Turnaround for East African Corridor Logistics</dc:title>
  <dc:creator>Turnaround</dc:creator>
  <dc:description>Consolidated literature review and product-validation report</dc:description>
  <cp:lastModifiedBy>Iddy Chesire</cp:lastModifiedBy>
  <cp:revision>3</cp:revision>
  <dcterms:created xsi:type="dcterms:W3CDTF">2026-09-19T18:30:00Z</dcterms:created>
  <dcterms:modified xsi:type="dcterms:W3CDTF">2026-09-20T11:37:00Z</dcterms:modified>
</cp:coreProperties>
</file>