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3232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31.7.2024</w:t>
      </w:r>
      <w:r w:rsidRPr="005844A0">
        <w:br/>
        <w:t xml:space="preserve">Начало тестирования: </w:t>
      </w:r>
      <w:r w:rsidR="0018157B">
        <w:t xml:space="preserve">19:36:53</w:t>
      </w:r>
      <w:r w:rsidRPr="005844A0">
        <w:br/>
        <w:t xml:space="preserve">Окончание тестирования: </w:t>
      </w:r>
      <w:r w:rsidR="0018157B">
        <w:t xml:space="preserve">19:37:5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3 Срок хранения носителей информации об угрозах совершения и о совершении актов незаконного вмешательства на объектах транспортной инфраструктуры: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4.не менее 10 дней.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4 При проведении оценки уязвимости объектов транспортной инфраструктуры в первую очередь проводятся следующие действия: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2.по изучению технических и технологических характеристик объектов транспортной инфраструктуры, организации его эксплуатации;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Кем проводится досмотр в целях обеспечения транспортной безопасности: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4.уполномоченными лица из числа работников ЧОП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Кем проводится дополнительный досмотр в целях обеспечения транспортной безопасности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3.лицами из числа работников специализированных организаций в области обеспечения транспортной безопасности;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7 Кем проводится повторный досмотр, в целях обеспечения транспортной безопасности: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4.уполномоченными лицами из числа работников органов государственного контроля (надзора) Российской Федерации.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Кем проводится наблюдение и (или) собеседование в целях обеспечения транспортной безопасности: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4.уполномоченными лицами из числа работников подразделений МВД России.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/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/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  <dc:identifier/>
  <dc:language/>
</cp:coreProperties>
</file>