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Funcionalidades del Ecommerce de Belleza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Marketplace multimarca de productos de cuidado capilar, facial y maquillaje — Programación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Listado de funcionalidades (casos de uso) identificadas a partir del reto de diseño, el lenguaje ubicuo y las reglas de negocio (RN01–RN84) del proyecto. Nombradas con el formato Verbo + Objeto +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800"/>
        <w:gridCol w:w="3800"/>
        <w:tblGridChange w:id="0">
          <w:tblGrid>
            <w:gridCol w:w="1200"/>
            <w:gridCol w:w="38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5b9bd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9bd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 / notas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Usuarios y tiendas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Registrar usuario (cliente, vendedor o 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RN01, RN03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Autenticar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Registrar tienda de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Aprobar tienda de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RN05, RN06, RN09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Catálogo (con identidad de nicho)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Publicar artículo en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RN10, RN11, RN14, RN15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Actualizar inventario de artículo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RN25, RN26, RN29, RN30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Crear rutina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Lenguaje ubicuo: agrupa artículos de una o varias marcas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Calcular best seller de artículo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Lenguaje ubicuo: ranking por ventas en un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Registrar lanzamiento de artículo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Lenguaje ubicuo: novedad publicada por una tienda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Agregar artículo al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RN31, RN32, RN33, RN34, RN35, RN36, RN37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Confirmar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RN38, RN39, RN40, RN41, RN42, RN43, RN44, RN45, RN46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Procesar pago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RN53, RN54, RN55, RN56, RN57, RN58, RN59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Aplicar cupón 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RN47, RN48, RN49, RN50, RN51, RN52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Solicitar reembolso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RN59; invariante: compra reembolsada no cambia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Post-venta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Generar envío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RN64, RN65, RN66, RN67, RN68, RN69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Calificar artículo comprado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RN75, RN76, RN77, RN78, RN79, RN80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Notificar cambio de estado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RN81, RN82, RN83, RN84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Esta lista cubre las reglas prioritarias de implementación (RN01, RN05, RN10, RN17, RN26, RN28, RN35, RN40, RN43, RN48, RN56, RN75, RN76).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Tono y Tipo de Piel (términos del lenguaje ubicuo) se modelan como atributos / value objects del artículo, no como funcionalidades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0"/>
          <w:szCs w:val="20"/>
          <w:rtl w:val="0"/>
        </w:rPr>
        <w:t xml:space="preserve">• F-01 y F-02 (Registrar productos / Procesar compras, del refinamiento vertical previo) corresponden aquí a F-05 y F-11/F-12 respectivamente.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