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711C4" w14:textId="77777777" w:rsidR="00DC087A" w:rsidRDefault="00000000">
      <w:pPr>
        <w:spacing w:after="300" w:line="360" w:lineRule="auto"/>
        <w:jc w:val="center"/>
        <w:rPr>
          <w:rFonts w:hint="eastAsia"/>
        </w:rPr>
        <w:widowControl w:val="1"/>
      </w:pPr>
      <w:r>
        <w:rPr>
          <w:rFonts w:ascii="黑体" w:eastAsia="黑体" w:hAnsi="黑体" w:cs="黑体"/>
          <w:b/>
          <w:bCs/>
          <w:sz w:val="36"/>
          <w:szCs w:val="36"/>
        </w:rPr>
        <w:t xml:space="preserve">技术方案：基于多模态结构因果模型与虚拟扰动的 ACLF 关键生物标志物挖掘（V5）</w:t>
      </w:r>
    </w:p>
    <w:p w14:paraId="6A2D9AF2" w14:textId="77777777" w:rsidR="00DC087A" w:rsidRDefault="00DC087A">
      <w:pPr>
        <w:pBdr>
          <w:bottom w:val="single" w:sz="2" w:space="1" w:color="CCCCCC"/>
        </w:pBdr>
        <w:spacing w:before="80" w:after="80"/>
        <w:rPr>
          <w:rFonts w:hint="eastAsia"/>
        </w:rPr>
        <w:widowControl w:val="1"/>
      </w:pPr>
    </w:p>
    <w:p w14:paraId="1DB947B9" w14:textId="77777777" w:rsidR="00DC087A" w:rsidRDefault="00000000">
      <w:pPr>
        <w:pStyle w:val="1"/>
        <w:jc w:val="center"/>
        <w:rPr>
          <w:rFonts w:hint="eastAsia"/>
        </w:rPr>
        <w:keepNext w:val="1"/>
      </w:pPr>
      <w:r>
        <w:t>一、研究</w:t>
      </w:r>
      <w:r>
        <w:rPr>
          <w:rFonts w:hint="eastAsia"/>
        </w:rPr>
        <w:t>背景和科学问题</w:t>
      </w:r>
    </w:p>
    <w:p w14:paraId="6C20998D" w14:textId="77777777" w:rsidR="00DC087A" w:rsidRDefault="00000000">
      <w:pPr>
        <w:pStyle w:val="2"/>
        <w:rPr>
          <w:rFonts w:hint="eastAsia"/>
        </w:rPr>
        <w:keepNext w:val="1"/>
      </w:pPr>
      <w:r>
        <w:t>1.</w:t>
      </w:r>
      <w:r>
        <w:rPr>
          <w:rFonts w:hint="eastAsia"/>
        </w:rPr>
        <w:t>1</w:t>
      </w:r>
      <w:r>
        <w:t xml:space="preserve"> </w:t>
      </w:r>
      <w:r>
        <w:rPr>
          <w:rFonts w:hint="eastAsia"/>
        </w:rPr>
        <w:t>参考</w:t>
      </w:r>
      <w:r>
        <w:t>文献的关键启发</w:t>
      </w:r>
    </w:p>
    <w:p w14:paraId="4D58725B" w14:textId="77777777" w:rsidR="00DC087A" w:rsidRDefault="00000000">
      <w:pPr>
        <w:spacing w:line="360" w:lineRule="auto"/>
        <w:ind w:firstLine="480"/>
        <w:rPr>
          <w:rFonts w:hint="eastAsia"/>
        </w:rPr>
        <w:widowControl w:val="1"/>
      </w:pPr>
      <w:r>
        <w:rPr>
          <w:rFonts w:ascii="Times New Roman" w:hAnsi="Times New Roman" w:cs="Times New Roman"/>
        </w:rPr>
        <w:t xml:space="preserve">前期系统梳理的系列论文为本方案提供了四条核心方法论启示：</w:t>
      </w:r>
    </w:p>
    <w:p w14:paraId="3785C7C5" w14:textId="77777777" w:rsidR="00DC087A" w:rsidRDefault="00000000">
      <w:pPr>
        <w:spacing w:line="360" w:lineRule="auto"/>
        <w:rPr>
          <w:rFonts w:hint="eastAsia"/>
        </w:rPr>
        <w:widowControl w:val="1"/>
      </w:pPr>
      <w:r>
        <w:rPr>
          <w:rFonts w:ascii="Times New Roman" w:hAnsi="Times New Roman" w:cs="Times New Roman"/>
        </w:rPr>
        <w:t xml:space="preserve">1. </w:t>
      </w:r>
      <w:r>
        <w:rPr>
          <w:rFonts w:ascii="Times New Roman" w:hAnsi="Times New Roman" w:cs="Times New Roman"/>
        </w:rPr>
        <w:t>从相关到因果的范式转移：</w:t>
      </w:r>
      <w:r>
        <w:rPr>
          <w:rFonts w:ascii="Times New Roman" w:hAnsi="Times New Roman" w:cs="Times New Roman"/>
        </w:rPr>
        <w:t>CausalBench</w:t>
      </w:r>
      <w:r>
        <w:rPr>
          <w:rFonts w:ascii="Times New Roman" w:hAnsi="Times New Roman" w:cs="Times New Roman"/>
        </w:rPr>
        <w:t>、</w:t>
      </w:r>
      <w:r>
        <w:rPr>
          <w:rFonts w:ascii="Times New Roman" w:hAnsi="Times New Roman" w:cs="Times New Roman"/>
        </w:rPr>
        <w:t xml:space="preserve">Causal Differential Networks </w:t>
      </w:r>
      <w:r>
        <w:rPr>
          <w:rFonts w:ascii="Times New Roman" w:hAnsi="Times New Roman" w:cs="Times New Roman"/>
        </w:rPr>
        <w:t>等工作明确指出，高维生物系统中的关键变量识别不能停留在相关性或边权排序，而应引入因果结构推断与扰动响应评估。</w:t>
      </w:r>
    </w:p>
    <w:p w14:paraId="5DB09FF2" w14:textId="77777777" w:rsidR="00DC087A" w:rsidRDefault="00000000">
      <w:pPr>
        <w:spacing w:line="360" w:lineRule="auto"/>
        <w:rPr>
          <w:rFonts w:hint="eastAsia"/>
        </w:rPr>
        <w:widowControl w:val="1"/>
      </w:pPr>
      <w:r>
        <w:rPr>
          <w:rFonts w:ascii="Times New Roman" w:hAnsi="Times New Roman" w:cs="Times New Roman"/>
        </w:rPr>
        <w:t xml:space="preserve">2. </w:t>
      </w:r>
      <w:r>
        <w:rPr>
          <w:rFonts w:ascii="Times New Roman" w:hAnsi="Times New Roman" w:cs="Times New Roman"/>
        </w:rPr>
        <w:t>深度表征与因果约束的融合：</w:t>
      </w:r>
      <w:r>
        <w:rPr>
          <w:rFonts w:ascii="Times New Roman" w:hAnsi="Times New Roman" w:cs="Times New Roman"/>
        </w:rPr>
        <w:t>Variational Causal Inference</w:t>
      </w:r>
      <w:r>
        <w:rPr>
          <w:rFonts w:ascii="Times New Roman" w:hAnsi="Times New Roman" w:cs="Times New Roman"/>
        </w:rPr>
        <w:t>、</w:t>
      </w:r>
      <w:r>
        <w:rPr>
          <w:rFonts w:ascii="Times New Roman" w:hAnsi="Times New Roman" w:cs="Times New Roman"/>
        </w:rPr>
        <w:t>Causal Representation Learning</w:t>
      </w:r>
      <w:r>
        <w:rPr>
          <w:rFonts w:ascii="Times New Roman" w:hAnsi="Times New Roman" w:cs="Times New Roman"/>
        </w:rPr>
        <w:t>、</w:t>
      </w:r>
      <w:r>
        <w:rPr>
          <w:rFonts w:ascii="Times New Roman" w:hAnsi="Times New Roman" w:cs="Times New Roman"/>
        </w:rPr>
        <w:t xml:space="preserve">Generative Intervention Models </w:t>
      </w:r>
      <w:r>
        <w:rPr>
          <w:rFonts w:ascii="Times New Roman" w:hAnsi="Times New Roman" w:cs="Times New Roman"/>
        </w:rPr>
        <w:t>等研究表明，深度生成模型擅长处理高维噪声数据，但必须嵌入结构化因果机制约束，才能在反事实推断和未观测扰动预测中具备可解释性。</w:t>
      </w:r>
    </w:p>
    <w:p w14:paraId="1E92B5CE" w14:textId="77777777" w:rsidR="00DC087A" w:rsidRDefault="00000000">
      <w:pPr>
        <w:spacing w:line="360" w:lineRule="auto"/>
        <w:rPr>
          <w:rFonts w:ascii="Times New Roman" w:hAnsi="Times New Roman" w:cs="Times New Roman"/>
        </w:rPr>
        <w:widowControl w:val="1"/>
      </w:pPr>
      <w:r>
        <w:rPr>
          <w:rFonts w:ascii="Times New Roman" w:hAnsi="Times New Roman" w:cs="Times New Roman"/>
        </w:rPr>
        <w:t xml:space="preserve">3. </w:t>
      </w:r>
      <w:r>
        <w:rPr>
          <w:rFonts w:ascii="Times New Roman" w:hAnsi="Times New Roman" w:cs="Times New Roman"/>
        </w:rPr>
        <w:t>以反事实分析衡量模型价值：</w:t>
      </w:r>
      <w:r>
        <w:rPr>
          <w:rFonts w:ascii="Times New Roman" w:hAnsi="Times New Roman" w:cs="Times New Roman"/>
        </w:rPr>
        <w:t>Virtual Cells as Causal World Models</w:t>
      </w:r>
      <w:r>
        <w:rPr>
          <w:rFonts w:ascii="Times New Roman" w:hAnsi="Times New Roman" w:cs="Times New Roman"/>
        </w:rPr>
        <w:t>、</w:t>
      </w:r>
      <w:r>
        <w:rPr>
          <w:rFonts w:ascii="Times New Roman" w:hAnsi="Times New Roman" w:cs="Times New Roman"/>
        </w:rPr>
        <w:t>Clinical World Models</w:t>
      </w:r>
      <w:r>
        <w:rPr>
          <w:rFonts w:ascii="Times New Roman" w:hAnsi="Times New Roman" w:cs="Times New Roman"/>
        </w:rPr>
        <w:t>、</w:t>
      </w:r>
      <w:r>
        <w:rPr>
          <w:rFonts w:ascii="Times New Roman" w:hAnsi="Times New Roman" w:cs="Times New Roman"/>
        </w:rPr>
        <w:t xml:space="preserve">PERTURBQA </w:t>
      </w:r>
      <w:r>
        <w:rPr>
          <w:rFonts w:ascii="Times New Roman" w:hAnsi="Times New Roman" w:cs="Times New Roman"/>
        </w:rPr>
        <w:t>等工作共同指向一个核心评价标准</w:t>
      </w:r>
      <w:r>
        <w:rPr>
          <w:rFonts w:ascii="Times New Roman" w:hAnsi="Times New Roman" w:cs="Times New Roman"/>
        </w:rPr>
        <w:t>——</w:t>
      </w:r>
      <w:r>
        <w:rPr>
          <w:rFonts w:ascii="Times New Roman" w:hAnsi="Times New Roman" w:cs="Times New Roman"/>
        </w:rPr>
        <w:t>生物医学模型的下游价值应体现在</w:t>
      </w:r>
      <w:r>
        <w:rPr>
          <w:rFonts w:ascii="Times New Roman" w:hAnsi="Times New Roman" w:cs="Times New Roman"/>
        </w:rPr>
        <w:t>"</w:t>
      </w:r>
      <w:r>
        <w:rPr>
          <w:rFonts w:ascii="Times New Roman" w:hAnsi="Times New Roman" w:cs="Times New Roman"/>
        </w:rPr>
        <w:t>如果干预某个分子，系统结局将如何变化</w:t>
      </w:r>
      <w:r>
        <w:rPr>
          <w:rFonts w:ascii="Times New Roman" w:hAnsi="Times New Roman" w:cs="Times New Roman"/>
        </w:rPr>
        <w:t>"</w:t>
      </w:r>
      <w:r>
        <w:rPr>
          <w:rFonts w:ascii="Times New Roman" w:hAnsi="Times New Roman" w:cs="Times New Roman"/>
        </w:rPr>
        <w:t>这一反事实问题的回答能力上。</w:t>
      </w:r>
    </w:p>
    <w:p w14:paraId="55ADB1AB" w14:textId="58A7F43D" w:rsidR="00CB1841" w:rsidRPr="00CB1841" w:rsidRDefault="00CB1841" w:rsidP="00CB1841">
      <w:pPr>
        <w:spacing w:line="360" w:lineRule="auto"/>
        <w:rPr>
          <w:rFonts w:ascii="Times New Roman" w:hAnsi="Times New Roman" w:cs="Times New Roman"/>
        </w:rPr>
        <w:widowControl w:val="1"/>
      </w:pPr>
      <w:r>
        <w:rPr>
          <w:rFonts w:ascii="Times New Roman" w:hAnsi="Times New Roman" w:cs="Times New Roman" w:hint="eastAsia"/>
        </w:rPr>
        <w:t>4.</w:t>
      </w:r>
      <w:r w:rsidRPr="00CB1841">
        <w:t xml:space="preserve"> </w:t>
      </w:r>
      <w:r w:rsidRPr="00CB1841">
        <w:rPr>
          <w:rFonts w:ascii="Times New Roman" w:hAnsi="Times New Roman" w:cs="Times New Roman"/>
        </w:rPr>
        <w:t xml:space="preserve">ACLF </w:t>
      </w:r>
      <w:r w:rsidRPr="00CB1841">
        <w:rPr>
          <w:rFonts w:ascii="Times New Roman" w:hAnsi="Times New Roman" w:cs="Times New Roman"/>
        </w:rPr>
        <w:t>的</w:t>
      </w:r>
      <w:r w:rsidRPr="00CB1841">
        <w:rPr>
          <w:rFonts w:ascii="Times New Roman" w:hAnsi="Times New Roman" w:cs="Times New Roman"/>
        </w:rPr>
        <w:t xml:space="preserve"> omics </w:t>
      </w:r>
      <w:r w:rsidRPr="00CB1841">
        <w:rPr>
          <w:rFonts w:ascii="Times New Roman" w:hAnsi="Times New Roman" w:cs="Times New Roman"/>
        </w:rPr>
        <w:t>综述仍明确指出，更深入的机制通路和潜在治疗靶点仍需要进一步研究，</w:t>
      </w:r>
      <w:r w:rsidRPr="00CB1841">
        <w:rPr>
          <w:rFonts w:ascii="Times New Roman" w:hAnsi="Times New Roman" w:cs="Times New Roman"/>
        </w:rPr>
        <w:t xml:space="preserve">omics </w:t>
      </w:r>
      <w:r w:rsidRPr="00CB1841">
        <w:rPr>
          <w:rFonts w:ascii="Times New Roman" w:hAnsi="Times New Roman" w:cs="Times New Roman"/>
        </w:rPr>
        <w:t>的重要用途之一正是机制解析、</w:t>
      </w:r>
      <w:r w:rsidRPr="00CB1841">
        <w:rPr>
          <w:rFonts w:ascii="Times New Roman" w:hAnsi="Times New Roman" w:cs="Times New Roman"/>
        </w:rPr>
        <w:t xml:space="preserve">biomarker </w:t>
      </w:r>
      <w:r w:rsidRPr="00CB1841">
        <w:rPr>
          <w:rFonts w:ascii="Times New Roman" w:hAnsi="Times New Roman" w:cs="Times New Roman"/>
        </w:rPr>
        <w:t>和潜在治疗靶点识别。</w:t>
      </w:r>
    </w:p>
    <w:p w14:paraId="0385D02E" w14:textId="77777777" w:rsidR="00CB1841" w:rsidRPr="00CB1841" w:rsidRDefault="00CB1841" w:rsidP="00CB1841">
      <w:pPr>
        <w:spacing w:line="360" w:lineRule="auto"/>
        <w:rPr>
          <w:rFonts w:ascii="Times New Roman" w:hAnsi="Times New Roman" w:cs="Times New Roman"/>
        </w:rPr>
        <w:widowControl w:val="1"/>
      </w:pPr>
      <w:r w:rsidRPr="00CB1841">
        <w:rPr>
          <w:rFonts w:ascii="Times New Roman" w:hAnsi="Times New Roman" w:cs="Times New Roman"/>
        </w:rPr>
        <w:t>代谢组研究同样指出，虽然已经找到不少</w:t>
      </w:r>
      <w:r w:rsidRPr="00CB1841">
        <w:rPr>
          <w:rFonts w:ascii="Times New Roman" w:hAnsi="Times New Roman" w:cs="Times New Roman"/>
        </w:rPr>
        <w:t xml:space="preserve"> ACLF-associated metabolites</w:t>
      </w:r>
      <w:r w:rsidRPr="00CB1841">
        <w:rPr>
          <w:rFonts w:ascii="Times New Roman" w:hAnsi="Times New Roman" w:cs="Times New Roman"/>
        </w:rPr>
        <w:t>，但经过充分验证的诊断</w:t>
      </w:r>
      <w:r w:rsidRPr="00CB1841">
        <w:rPr>
          <w:rFonts w:ascii="Times New Roman" w:hAnsi="Times New Roman" w:cs="Times New Roman"/>
        </w:rPr>
        <w:t>/</w:t>
      </w:r>
      <w:r w:rsidRPr="00CB1841">
        <w:rPr>
          <w:rFonts w:ascii="Times New Roman" w:hAnsi="Times New Roman" w:cs="Times New Roman"/>
        </w:rPr>
        <w:t>预后</w:t>
      </w:r>
      <w:r w:rsidRPr="00CB1841">
        <w:rPr>
          <w:rFonts w:ascii="Times New Roman" w:hAnsi="Times New Roman" w:cs="Times New Roman"/>
        </w:rPr>
        <w:t xml:space="preserve"> biomarker </w:t>
      </w:r>
      <w:r w:rsidRPr="00CB1841">
        <w:rPr>
          <w:rFonts w:ascii="Times New Roman" w:hAnsi="Times New Roman" w:cs="Times New Roman"/>
        </w:rPr>
        <w:t>和这些代谢物在发病机制中的作用仍然没有完全明确。</w:t>
      </w:r>
    </w:p>
    <w:p w14:paraId="3F902D22" w14:textId="77777777" w:rsidR="00CB1841" w:rsidRPr="00CB1841" w:rsidRDefault="00CB1841" w:rsidP="00CB1841">
      <w:pPr>
        <w:spacing w:line="360" w:lineRule="auto"/>
        <w:rPr>
          <w:rFonts w:ascii="Times New Roman" w:hAnsi="Times New Roman" w:cs="Times New Roman"/>
        </w:rPr>
        <w:widowControl w:val="1"/>
      </w:pPr>
      <w:r w:rsidRPr="00CB1841">
        <w:rPr>
          <w:rFonts w:ascii="Times New Roman" w:hAnsi="Times New Roman" w:cs="Times New Roman"/>
        </w:rPr>
        <w:t>而且直到最近仍然可以通过</w:t>
      </w:r>
      <w:r w:rsidRPr="00CB1841">
        <w:rPr>
          <w:rFonts w:ascii="Times New Roman" w:hAnsi="Times New Roman" w:cs="Times New Roman"/>
        </w:rPr>
        <w:t xml:space="preserve"> multi-omics </w:t>
      </w:r>
      <w:r w:rsidRPr="00CB1841">
        <w:rPr>
          <w:rFonts w:ascii="Times New Roman" w:hAnsi="Times New Roman" w:cs="Times New Roman"/>
        </w:rPr>
        <w:t>找到新的机制性网络。例如</w:t>
      </w:r>
      <w:r w:rsidRPr="00CB1841">
        <w:rPr>
          <w:rFonts w:ascii="Times New Roman" w:hAnsi="Times New Roman" w:cs="Times New Roman"/>
        </w:rPr>
        <w:t xml:space="preserve"> 2026 </w:t>
      </w:r>
      <w:r w:rsidRPr="00CB1841">
        <w:rPr>
          <w:rFonts w:ascii="Times New Roman" w:hAnsi="Times New Roman" w:cs="Times New Roman"/>
        </w:rPr>
        <w:t>年一项</w:t>
      </w:r>
      <w:r w:rsidRPr="00CB1841">
        <w:rPr>
          <w:rFonts w:ascii="Times New Roman" w:hAnsi="Times New Roman" w:cs="Times New Roman"/>
        </w:rPr>
        <w:t xml:space="preserve"> 766 </w:t>
      </w:r>
      <w:r w:rsidRPr="00CB1841">
        <w:rPr>
          <w:rFonts w:ascii="Times New Roman" w:hAnsi="Times New Roman" w:cs="Times New Roman"/>
        </w:rPr>
        <w:t>名失代偿肝硬化患者的血液</w:t>
      </w:r>
      <w:r w:rsidRPr="00CB1841">
        <w:rPr>
          <w:rFonts w:ascii="Times New Roman" w:hAnsi="Times New Roman" w:cs="Times New Roman"/>
        </w:rPr>
        <w:t xml:space="preserve"> multiomics </w:t>
      </w:r>
      <w:r w:rsidRPr="00CB1841">
        <w:rPr>
          <w:rFonts w:ascii="Times New Roman" w:hAnsi="Times New Roman" w:cs="Times New Roman"/>
        </w:rPr>
        <w:t>研究，把</w:t>
      </w:r>
      <w:r w:rsidRPr="00CB1841">
        <w:rPr>
          <w:rFonts w:ascii="Times New Roman" w:hAnsi="Times New Roman" w:cs="Times New Roman"/>
        </w:rPr>
        <w:t xml:space="preserve"> lipid mediator 20-HETE </w:t>
      </w:r>
      <w:r w:rsidRPr="00CB1841">
        <w:rPr>
          <w:rFonts w:ascii="Times New Roman" w:hAnsi="Times New Roman" w:cs="Times New Roman"/>
        </w:rPr>
        <w:t>与</w:t>
      </w:r>
      <w:r w:rsidRPr="00CB1841">
        <w:rPr>
          <w:rFonts w:ascii="Times New Roman" w:hAnsi="Times New Roman" w:cs="Times New Roman"/>
        </w:rPr>
        <w:t xml:space="preserve"> mitochondrial dysfunction </w:t>
      </w:r>
      <w:r w:rsidRPr="00CB1841">
        <w:rPr>
          <w:rFonts w:ascii="Times New Roman" w:hAnsi="Times New Roman" w:cs="Times New Roman"/>
        </w:rPr>
        <w:t>连接成与</w:t>
      </w:r>
      <w:r w:rsidRPr="00CB1841">
        <w:rPr>
          <w:rFonts w:ascii="Times New Roman" w:hAnsi="Times New Roman" w:cs="Times New Roman"/>
        </w:rPr>
        <w:t xml:space="preserve"> ACLF </w:t>
      </w:r>
      <w:r w:rsidRPr="00CB1841">
        <w:rPr>
          <w:rFonts w:ascii="Times New Roman" w:hAnsi="Times New Roman" w:cs="Times New Roman"/>
        </w:rPr>
        <w:t>发生和死亡相关的网络，并进一步</w:t>
      </w:r>
      <w:r w:rsidRPr="00CB1841">
        <w:rPr>
          <w:rFonts w:ascii="Times New Roman" w:hAnsi="Times New Roman" w:cs="Times New Roman"/>
        </w:rPr>
        <w:lastRenderedPageBreak/>
        <w:t>进行了体外机制验证。</w:t>
      </w:r>
    </w:p>
    <w:p w14:paraId="4989A15B" w14:textId="19204294" w:rsidR="00CB1841" w:rsidRPr="00CB1841" w:rsidRDefault="00CB1841">
      <w:pPr>
        <w:spacing w:line="360" w:lineRule="auto"/>
        <w:rPr>
          <w:rFonts w:hint="eastAsia"/>
        </w:rPr>
        <w:widowControl w:val="1"/>
      </w:pPr>
    </w:p>
    <w:p w14:paraId="5D39545A" w14:textId="77777777" w:rsidR="00DC087A" w:rsidRDefault="00000000">
      <w:pPr>
        <w:pStyle w:val="2"/>
        <w:rPr>
          <w:rFonts w:hint="eastAsia"/>
        </w:rPr>
        <w:keepNext w:val="1"/>
      </w:pPr>
      <w:r>
        <w:t>1.</w:t>
      </w:r>
      <w:r>
        <w:rPr>
          <w:rFonts w:hint="eastAsia"/>
        </w:rPr>
        <w:t>2</w:t>
      </w:r>
      <w:r>
        <w:t xml:space="preserve"> </w:t>
      </w:r>
      <w:r>
        <w:rPr>
          <w:rFonts w:hint="eastAsia"/>
        </w:rPr>
        <w:t>科学问题</w:t>
      </w:r>
    </w:p>
    <w:p w14:paraId="06C90739" w14:textId="77777777" w:rsidR="00DC087A" w:rsidRDefault="00000000">
      <w:pPr>
        <w:spacing w:line="360" w:lineRule="auto"/>
        <w:ind w:firstLine="480"/>
        <w:rPr>
          <w:rFonts w:hint="eastAsia"/>
        </w:rPr>
        <w:widowControl w:val="1"/>
      </w:pPr>
      <w:r>
        <w:t>在 ACLF 复杂病理进展中，哪些蛋白质和代谢物变化不仅与疾病严重程度相关，而且可能位于驱动临床恶化的上游因果链条中？</w:t>
      </w:r>
    </w:p>
    <w:p w14:paraId="51135C88" w14:textId="77777777" w:rsidR="00DC087A" w:rsidRDefault="00000000">
      <w:pPr>
        <w:spacing w:line="360" w:lineRule="auto"/>
        <w:ind w:firstLine="480"/>
        <w:rPr>
          <w:rFonts w:hint="eastAsia"/>
        </w:rPr>
        <w:widowControl w:val="1"/>
      </w:pPr>
      <w:r>
        <w:t xml:space="preserve">本研究提出以下待验证假设：蛋白质组、代谢组与临床结局之间可能存在跨层级传导关系；结合稳定的结构投影信号、模型内扰动响应和外部生物学证据，可为 ACLF 相关机制研究筛选优先验证的候选分子。当前肝衰竭标签与临床指标尚不能直接代表经标准确认的 ACLF 队列，也不能据此认定候选分子具有因果作用。</w:t>
      </w:r>
    </w:p>
    <w:p w14:paraId="07272BDA" w14:textId="77777777" w:rsidR="00DC087A" w:rsidRDefault="00000000">
      <w:pPr>
        <w:pStyle w:val="1"/>
        <w:jc w:val="center"/>
        <w:rPr>
          <w:rFonts w:hint="eastAsia"/>
        </w:rPr>
        <w:keepNext w:val="1"/>
      </w:pPr>
      <w:r>
        <w:t>二、研究</w:t>
      </w:r>
      <w:r>
        <w:rPr>
          <w:rFonts w:hint="eastAsia"/>
        </w:rPr>
        <w:t>方案</w:t>
      </w:r>
    </w:p>
    <w:p w14:paraId="282C9096" w14:textId="77777777" w:rsidR="00DC087A" w:rsidRDefault="00000000">
      <w:pPr>
        <w:spacing w:line="360" w:lineRule="auto"/>
        <w:ind w:firstLineChars="200" w:firstLine="480"/>
        <w:rPr>
          <w:rFonts w:ascii="Times New Roman" w:hAnsi="Times New Roman" w:cs="Times New Roman"/>
        </w:rPr>
        <w:widowControl w:val="1"/>
      </w:pPr>
      <w:r>
        <w:rPr>
          <w:rFonts w:ascii="Times New Roman" w:hAnsi="Times New Roman" w:cs="Times New Roman" w:hint="eastAsia"/>
        </w:rPr>
        <w:t xml:space="preserve">本研究面向 ACLF 机制与候选 biomarker 挖掘，基于现有肝衰竭相关多组学数据和临床表型，构建结构因果 VAE 分析框架。以模型架构整理及 4.2、4.3 的结构效应分析为基础，设计从候选选择、患者与剂量定义、冻结模型推断到统计验证和综合排序的完整实验流程，为分子优先验证提供可复核的依据。</w:t>
      </w:r>
    </w:p>
    <w:p w14:paraId="3A13E4BC" w14:textId="77777777" w:rsidR="00DC087A" w:rsidRDefault="00000000">
      <w:pPr>
        <w:spacing w:line="360" w:lineRule="auto"/>
        <w:ind w:firstLineChars="200" w:firstLine="480"/>
        <w:rPr>
          <w:rFonts w:ascii="Times New Roman" w:hAnsi="Times New Roman" w:cs="Times New Roman"/>
        </w:rPr>
        <w:widowControl w:val="1"/>
      </w:pPr>
      <w:r>
        <w:rPr>
          <w:rFonts w:ascii="Times New Roman" w:hAnsi="Times New Roman" w:cs="Times New Roman" w:hint="eastAsia"/>
        </w:rPr>
        <w:t>具体方案包括：</w:t>
      </w:r>
    </w:p>
    <w:p w14:paraId="383E3BF9" w14:textId="77777777" w:rsidR="00DC087A" w:rsidRDefault="00000000">
      <w:pPr>
        <w:numPr>
          <w:ilvl w:val="0"/>
          <w:numId w:val="1"/>
        </w:numPr>
        <w:spacing w:line="360" w:lineRule="auto"/>
        <w:rPr>
          <w:rFonts w:ascii="Times New Roman" w:hAnsi="Times New Roman" w:cs="Times New Roman"/>
        </w:rPr>
        <w:widowControl w:val="1"/>
      </w:pPr>
      <w:r>
        <w:rPr>
          <w:rFonts w:ascii="Times New Roman" w:hAnsi="Times New Roman" w:cs="Times New Roman" w:hint="eastAsia"/>
        </w:rPr>
        <w:t xml:space="preserve">构建蛋白质组、代谢组与临床结局之间的结构化因果表征框架，研究多组学特征与肝衰竭相关临床表型之间的模型内关联与传播关系。</w:t>
      </w:r>
    </w:p>
    <w:p w14:paraId="4051D83A" w14:textId="77777777" w:rsidR="00DC087A" w:rsidRDefault="00000000">
      <w:pPr>
        <w:numPr>
          <w:ilvl w:val="0"/>
          <w:numId w:val="1"/>
        </w:numPr>
        <w:spacing w:line="360" w:lineRule="auto"/>
        <w:rPr>
          <w:rFonts w:ascii="Times New Roman" w:hAnsi="Times New Roman" w:cs="Times New Roman"/>
        </w:rPr>
        <w:widowControl w:val="1"/>
      </w:pPr>
      <w:r>
        <w:rPr>
          <w:rFonts w:ascii="Times New Roman" w:hAnsi="Times New Roman" w:cs="Times New Roman" w:hint="eastAsia"/>
        </w:rPr>
        <w:t xml:space="preserve">以分子到单个 Outcome 的边为单位，对照直接结构投影与总结构传播效应，识别直接高排名、间接放大、衰减及方向翻转的候选信号。</w:t>
      </w:r>
    </w:p>
    <w:p w14:paraId="482B5D89" w14:textId="77777777" w:rsidR="00DC087A" w:rsidRDefault="00000000">
      <w:pPr>
        <w:numPr>
          <w:ilvl w:val="0"/>
          <w:numId w:val="1"/>
        </w:numPr>
        <w:spacing w:line="360" w:lineRule="auto"/>
        <w:rPr>
          <w:rFonts w:ascii="Times New Roman" w:hAnsi="Times New Roman" w:cs="Times New Roman"/>
        </w:rPr>
        <w:widowControl w:val="1"/>
      </w:pPr>
      <w:r>
        <w:rPr>
          <w:rFonts w:ascii="Times New Roman" w:hAnsi="Times New Roman" w:cs="Times New Roman" w:hint="eastAsia"/>
        </w:rPr>
        <w:t xml:space="preserve">通过预先固定的患者级输入扰动实验，评估候选分子变化对结局预测的方向、幅度、剂量响应和个体差异，并以对照、跨模型比较和不确定性分析验证响应的可重复性。</w:t>
      </w:r>
    </w:p>
    <w:p w14:paraId="79E51F53" w14:textId="77777777" w:rsidR="00DC087A" w:rsidRDefault="00000000">
      <w:pPr>
        <w:numPr>
          <w:ilvl w:val="0"/>
          <w:numId w:val="1"/>
        </w:numPr>
        <w:spacing w:line="360" w:lineRule="auto"/>
        <w:rPr>
          <w:rFonts w:ascii="Times New Roman" w:hAnsi="Times New Roman" w:cs="Times New Roman"/>
        </w:rPr>
        <w:widowControl w:val="1"/>
      </w:pPr>
      <w:r>
        <w:rPr>
          <w:rFonts w:ascii="Times New Roman" w:hAnsi="Times New Roman" w:cs="Times New Roman" w:hint="eastAsia"/>
        </w:rPr>
        <w:t xml:space="preserve">结合跨模型稳定性、临床解释与外部生物学证据建立分项证据体系，保留各证据来源及其不确定性，避免未经验证的加权总分。</w:t>
      </w:r>
    </w:p>
    <w:p w14:paraId="5F8D97DB" w14:textId="77777777" w:rsidR="00DC087A" w:rsidRDefault="00000000">
      <w:pPr>
        <w:numPr>
          <w:ilvl w:val="0"/>
          <w:numId w:val="1"/>
        </w:numPr>
        <w:spacing w:line="360" w:lineRule="auto"/>
        <w:rPr>
          <w:rFonts w:ascii="Times New Roman" w:hAnsi="Times New Roman" w:cs="Times New Roman"/>
        </w:rPr>
        <w:widowControl w:val="1"/>
      </w:pPr>
      <w:r>
        <w:rPr>
          <w:rFonts w:ascii="Times New Roman" w:hAnsi="Times New Roman" w:cs="Times New Roman" w:hint="eastAsia"/>
        </w:rPr>
        <w:t xml:space="preserve">形成可供后续实验验证和机制研究使用的候选清单、解释卡片与图表；最终名单及数量须由完整验证结果决定。</w:t>
      </w:r>
    </w:p>
    <w:p w14:paraId="31018A36" w14:textId="77777777" w:rsidR="00DC087A" w:rsidRDefault="00000000">
      <w:pPr>
        <w:pStyle w:val="1"/>
        <w:jc w:val="center"/>
        <w:rPr>
          <w:rFonts w:hint="eastAsia"/>
        </w:rPr>
        <w:keepNext w:val="1"/>
      </w:pPr>
      <w:r>
        <w:t>三、模型基础</w:t>
      </w:r>
    </w:p>
    <w:p w14:paraId="4480F755" w14:textId="77777777" w:rsidR="00DC087A" w:rsidRDefault="00000000">
      <w:pPr>
        <w:pStyle w:val="2"/>
        <w:rPr>
          <w:rFonts w:hint="eastAsia"/>
        </w:rPr>
        <w:keepNext w:val="1"/>
      </w:pPr>
      <w:r>
        <w:lastRenderedPageBreak/>
        <w:t>3.1 模型架构概述</w:t>
      </w:r>
    </w:p>
    <w:p w14:paraId="7C0423CF" w14:textId="77777777" w:rsidR="00DC087A" w:rsidRDefault="00000000">
      <w:pPr>
        <w:spacing w:line="360" w:lineRule="auto"/>
        <w:ind w:firstLine="480"/>
        <w:rPr>
          <w:rFonts w:hint="eastAsia"/>
        </w:rPr>
        <w:widowControl w:val="1"/>
      </w:pPr>
      <w:r>
        <w:rPr>
          <w:rFonts w:ascii="Times New Roman" w:hAnsi="Times New Roman" w:cs="Times New Roman"/>
        </w:rPr>
        <w:t xml:space="preserve">当前核心模型为 outcome-in-SCM 多模态结构因果 VAE。配置包含 11 个临床锚定变量、2922 个蛋白、252 个代谢物，以及 14 个连续和 3 个二分类结局。蛋白、代谢物与锚定变量参与生成路径，真实结局 Y 仅作为监督目标，不作为结局潜变量的编码输入。</w:t>
      </w:r>
    </w:p>
    <w:p w14:paraId="489C80B8" w14:textId="77777777" w:rsidR="00DC087A" w:rsidRDefault="00000000">
      <w:pPr>
        <w:spacing w:line="360" w:lineRule="auto"/>
        <w:ind w:firstLine="480"/>
        <w:rPr>
          <w:rFonts w:hint="eastAsia"/>
        </w:rPr>
        <w:widowControl w:val="1"/>
      </w:pPr>
      <w:r>
        <w:rPr>
          <w:rFonts w:ascii="Times New Roman" w:hAnsi="Times New Roman" w:cs="Times New Roman"/>
        </w:rPr>
        <w:t xml:space="preserve">蛋白和代谢物分别通过 Shared-Private Encoder 产生共享外生变量与私有潜变量。共享维度依次为 15、15、3，组学私有维度各为 3。结局潜变量必须存在，并由 SCM 传播后交给 OutcomeDecoder 输出。结局外生项仅支持 zero 和 gaussian，当前默认 zero；OutcomeEncoder、MixedOutcomeHead、encoded_y 及无 outcome 备用路径均已移除。</w:t>
      </w:r>
    </w:p>
    <w:p w14:paraId="5F1A7D18" w14:textId="77777777" w:rsidR="00DC087A" w:rsidRDefault="00000000">
      <w:pPr>
        <w:pStyle w:val="2"/>
        <w:rPr>
          <w:rFonts w:hint="eastAsia"/>
        </w:rPr>
        <w:keepNext w:val="1"/>
      </w:pPr>
      <w:r>
        <w:t>3.2 结构因果模型（SCM）</w:t>
      </w:r>
    </w:p>
    <w:p w14:paraId="563981D2" w14:textId="77777777" w:rsidR="00DC087A" w:rsidRDefault="00000000">
      <w:pPr>
        <w:spacing w:line="360" w:lineRule="auto"/>
        <w:rPr>
          <w:rFonts w:hint="eastAsia"/>
        </w:rPr>
        <w:widowControl w:val="1"/>
      </w:pPr>
      <w:r>
        <w:rPr>
          <w:rFonts w:ascii="Times New Roman" w:hAnsi="Times New Roman" w:cs="Times New Roman"/>
        </w:rPr>
        <w:t xml:space="preserve">潜变量层 SCM 按 A[目标, 来源] 统一求解，其核心形式为：</w:t>
      </w:r>
    </w:p>
    <w:tbl>
      <w:tblPr>
        <w:tblW w:w="5000" w:type="pct"/>
        <w:tblCellMar>
          <w:left w:w="10" w:type="dxa"/>
          <w:right w:w="10" w:type="dxa"/>
        </w:tblCellMar>
        <w:tblLook w:val="04A0" w:firstRow="1" w:lastRow="0" w:firstColumn="1" w:lastColumn="0" w:noHBand="0" w:noVBand="1"/>
      </w:tblPr>
      <w:tblGrid>
        <w:gridCol w:w="830"/>
        <w:gridCol w:w="6645"/>
        <w:gridCol w:w="831"/>
      </w:tblGrid>
      <w:tr w:rsidR="00DC087A" w14:paraId="44091431" w14:textId="77777777">
        <w:tc>
          <w:tcPr>
            <w:tcW w:w="500" w:type="pct"/>
            <w:tcBorders>
              <w:top w:val="nil"/>
              <w:left w:val="nil"/>
              <w:bottom w:val="nil"/>
              <w:right w:val="nil"/>
            </w:tcBorders>
          </w:tcPr>
          <w:p w14:paraId="744B8A61" w14:textId="77777777" w:rsidR="00DC087A" w:rsidRDefault="00DC087A">
            <w:pPr>
              <w:rPr>
                <w:rFonts w:hint="eastAsia"/>
              </w:rPr>
            </w:pPr>
          </w:p>
        </w:tc>
        <w:tc>
          <w:tcPr>
            <w:tcW w:w="4000" w:type="pct"/>
            <w:tcBorders>
              <w:top w:val="nil"/>
              <w:left w:val="nil"/>
              <w:bottom w:val="nil"/>
              <w:right w:val="nil"/>
            </w:tcBorders>
            <w:vAlign w:val="center"/>
          </w:tcPr>
          <w:p w14:paraId="03A8D034" w14:textId="77777777" w:rsidR="00DC087A" w:rsidRDefault="00000000">
            <w:pPr>
              <w:spacing w:before="40" w:after="40"/>
              <w:jc w:val="center"/>
              <w:rPr>
                <w:rFonts w:hint="eastAsia"/>
              </w:rPr>
            </w:pPr>
            <m:oMathPara>
              <m:oMath>
                <m:r>
                  <m:rPr>
                    <m:sty m:val="p"/>
                  </m:rPr>
                  <w:rPr>
                    <w:rFonts w:ascii="Cambria Math"/>
                    <w:sz w:val="24"/>
                  </w:rPr>
                  <m:t xml:space="preserve">Z = </m:t>
                </m:r>
                <m:sSup>
                  <m:e>
                    <m:r>
                      <m:rPr>
                        <m:sty m:val="p"/>
                      </m:rPr>
                      <w:rPr>
                        <w:rFonts w:ascii="Cambria Math"/>
                        <w:sz w:val="24"/>
                      </w:rPr>
                      <m:t xml:space="preserve">(I − A)</m:t>
                    </m:r>
                  </m:e>
                  <m:sup>
                    <m:r>
                      <m:rPr>
                        <m:sty m:val="p"/>
                      </m:rPr>
                      <w:rPr>
                        <w:rFonts w:ascii="Cambria Math"/>
                        <w:sz w:val="24"/>
                      </w:rPr>
                      <m:t xml:space="preserve">−1</m:t>
                    </m:r>
                  </m:sup>
                </m:sSup>
                <m:r>
                  <m:rPr>
                    <m:sty m:val="p"/>
                  </m:rPr>
                  <w:rPr>
                    <w:rFonts w:ascii="Cambria Math"/>
                    <w:sz w:val="24"/>
                  </w:rPr>
                  <m:t xml:space="preserve"> (E + anchor_context)</m:t>
                </m:r>
              </m:oMath>
            </m:oMathPara>
          </w:p>
        </w:tc>
        <w:tc>
          <w:tcPr>
            <w:tcW w:w="500" w:type="pct"/>
            <w:tcBorders>
              <w:top w:val="nil"/>
              <w:left w:val="nil"/>
              <w:bottom w:val="nil"/>
              <w:right w:val="nil"/>
            </w:tcBorders>
            <w:vAlign w:val="center"/>
          </w:tcPr>
          <w:p w14:paraId="532F5DCD" w14:textId="77777777" w:rsidR="00DC087A" w:rsidRDefault="00000000">
            <w:pPr>
              <w:spacing w:before="40" w:after="40"/>
              <w:jc w:val="right"/>
              <w:rPr>
                <w:rFonts w:hint="eastAsia"/>
              </w:rPr>
            </w:pPr>
            <w:r>
              <w:rPr>
                <w:rFonts w:ascii="Times New Roman" w:hAnsi="Times New Roman" w:cs="Times New Roman"/>
                <w:sz w:val="20"/>
                <w:szCs w:val="20"/>
              </w:rPr>
              <w:t>(3-1)</w:t>
            </w:r>
          </w:p>
        </w:tc>
      </w:tr>
    </w:tbl>
    <w:p w14:paraId="770C63A5" w14:textId="77777777" w:rsidR="00DC087A" w:rsidRDefault="00000000">
      <w:pPr>
        <w:spacing w:line="360" w:lineRule="auto"/>
        <w:rPr>
          <w:rFonts w:hint="eastAsia"/>
        </w:rPr>
        <w:widowControl w:val="1"/>
      </w:pPr>
      <w:r>
        <w:rPr>
          <w:rFonts w:ascii="Times New Roman" w:hAnsi="Times New Roman" w:cs="Times New Roman"/>
        </w:rPr>
        <w:t>其中：</w:t>
      </w:r>
    </w:p>
    <w:p w14:paraId="31E13446" w14:textId="77777777" w:rsidR="00DC087A" w:rsidRDefault="00000000">
      <w:pPr>
        <w:spacing w:line="360" w:lineRule="auto"/>
        <w:rPr>
          <w:rFonts w:hint="eastAsia"/>
        </w:rPr>
        <w:widowControl w:val="1"/>
      </w:pPr>
      <w:r>
        <w:rPr>
          <w:rFonts w:ascii="Times New Roman" w:hAnsi="Times New Roman" w:cs="Times New Roman"/>
        </w:rPr>
        <w:t xml:space="preserve">A：33×33 的共享潜变量邻接矩阵，对应蛋白 15 维、代谢物 15 维与结局 3 维；A[i,j] 表示来源 j 指向目标 i，不再使用转置兼容路径。</w:t>
      </w:r>
    </w:p>
    <w:p w14:paraId="33131B8E" w14:textId="77777777" w:rsidR="00DC087A" w:rsidRDefault="00000000">
      <w:pPr>
        <w:spacing w:line="360" w:lineRule="auto"/>
        <w:rPr>
          <w:rFonts w:hint="eastAsia"/>
        </w:rPr>
        <w:widowControl w:val="1"/>
      </w:pPr>
      <w:r>
        <w:rPr>
          <w:rFonts w:ascii="Times New Roman" w:hAnsi="Times New Roman" w:cs="Times New Roman"/>
        </w:rPr>
        <w:t xml:space="preserve">E：蛋白、代谢物编码器产生的共享外生项与结局外生项的拼接；结局项为全零或独立高斯噪声，不由真实 Y 推断。</w:t>
      </w:r>
    </w:p>
    <w:p w14:paraId="213F86E2" w14:textId="77777777" w:rsidR="00DC087A" w:rsidRDefault="00000000">
      <w:pPr>
        <w:spacing w:line="360" w:lineRule="auto"/>
        <w:rPr>
          <w:rFonts w:hint="eastAsia"/>
        </w:rPr>
        <w:widowControl w:val="1"/>
      </w:pPr>
      <w:r>
        <w:rPr>
          <w:rFonts w:ascii="Times New Roman" w:hAnsi="Times New Roman" w:cs="Times New Roman"/>
        </w:rPr>
        <w:t xml:space="preserve">anchor_context：11 个锚定变量经映射生成的潜变量上下文项。</w:t>
      </w:r>
    </w:p>
    <w:p w14:paraId="68E26237" w14:textId="77777777" w:rsidR="00DC087A" w:rsidRDefault="00000000">
      <w:pPr>
        <w:spacing w:line="360" w:lineRule="auto"/>
        <w:rPr>
          <w:rFonts w:hint="eastAsia"/>
        </w:rPr>
        <w:widowControl w:val="1"/>
      </w:pPr>
      <w:r>
        <w:rPr>
          <w:rFonts w:ascii="Times New Roman" w:hAnsi="Times New Roman" w:cs="Times New Roman"/>
        </w:rPr>
        <w:t xml:space="preserve">Z：经线性方程求解得到的 33 维共享潜变量；私有潜变量用于组学重构，不进入结构图 A。</w:t>
      </w:r>
    </w:p>
    <w:p w14:paraId="7C09BCB0" w14:textId="77777777" w:rsidR="00DC087A" w:rsidRDefault="00000000">
      <w:pPr>
        <w:pStyle w:val="2"/>
        <w:rPr>
          <w:rFonts w:hint="eastAsia"/>
        </w:rPr>
        <w:keepNext w:val="1"/>
      </w:pPr>
      <w:r>
        <w:t>3.3 医学先验约束</w:t>
      </w:r>
    </w:p>
    <w:p w14:paraId="5EDC5527" w14:textId="77777777" w:rsidR="00DC087A" w:rsidRDefault="00000000">
      <w:pPr>
        <w:spacing w:line="360" w:lineRule="auto"/>
        <w:ind w:firstLine="480"/>
        <w:rPr>
          <w:rFonts w:hint="eastAsia"/>
        </w:rPr>
        <w:widowControl w:val="1"/>
      </w:pPr>
      <w:r>
        <w:rPr>
          <w:rFonts w:ascii="Times New Roman" w:hAnsi="Times New Roman" w:cs="Times New Roman"/>
        </w:rPr>
        <w:t xml:space="preserve">邻接掩码禁止 Outcome→Protein/Metabolite，并将对角线置零；模型仍允许组学内及双向跨组学连接。Outcome 块内部非对角边以 999.0 的稀疏惩罚抑制，并非硬置零。DAG 惩罚仅施加于蛋白、代谢物各自子块，不能据此宣称全图无环或排除所有反馈。上述方向约束属于建模先验，需要结合数据与外部证据解释。</w:t>
      </w:r>
    </w:p>
    <w:p w14:paraId="5FFDA815" w14:textId="77777777" w:rsidR="00DC087A" w:rsidRDefault="00000000">
      <w:pPr>
        <w:pStyle w:val="2"/>
        <w:rPr>
          <w:rFonts w:hint="eastAsia"/>
        </w:rPr>
        <w:keepNext w:val="1"/>
      </w:pPr>
      <w:r>
        <w:t>3.4 特征层因果投影</w:t>
      </w:r>
    </w:p>
    <w:p w14:paraId="1CEFBC4F" w14:textId="77777777" w:rsidR="00DC087A" w:rsidRDefault="00000000">
      <w:pPr>
        <w:spacing w:line="360" w:lineRule="auto"/>
        <w:rPr>
          <w:rFonts w:ascii="Times New Roman" w:hAnsi="Times New Roman" w:cs="Times New Roman"/>
        </w:rPr>
        <w:widowControl w:val="1"/>
      </w:pPr>
      <w:r>
        <w:rPr>
          <w:rFonts w:ascii="Times New Roman" w:hAnsi="Times New Roman" w:cs="Times New Roman"/>
        </w:rPr>
        <w:t xml:space="preserve">模型训练后，以共享线性解码器权重构造特征层结构投影：</w:t>
      </w:r>
    </w:p>
    <w:tbl>
      <w:tblPr>
        <w:tblW w:w="5000" w:type="pct"/>
        <w:tblCellMar>
          <w:left w:w="10" w:type="dxa"/>
          <w:right w:w="10" w:type="dxa"/>
        </w:tblCellMar>
        <w:tblLook w:val="04A0" w:firstRow="1" w:lastRow="0" w:firstColumn="1" w:lastColumn="0" w:noHBand="0" w:noVBand="1"/>
      </w:tblPr>
      <w:tblGrid>
        <w:gridCol w:w="830"/>
        <w:gridCol w:w="6645"/>
        <w:gridCol w:w="831"/>
      </w:tblGrid>
      <w:tr w:rsidR="00DC087A" w14:paraId="056913B6" w14:textId="77777777">
        <w:tc>
          <w:tcPr>
            <w:tcW w:w="500" w:type="pct"/>
            <w:tcBorders>
              <w:top w:val="nil"/>
              <w:left w:val="nil"/>
              <w:bottom w:val="nil"/>
              <w:right w:val="nil"/>
            </w:tcBorders>
          </w:tcPr>
          <w:p w14:paraId="5A3A6358" w14:textId="77777777" w:rsidR="00DC087A" w:rsidRDefault="00DC087A">
            <w:pPr>
              <w:rPr>
                <w:rFonts w:hint="eastAsia"/>
              </w:rPr>
            </w:pPr>
          </w:p>
        </w:tc>
        <w:tc>
          <w:tcPr>
            <w:tcW w:w="4000" w:type="pct"/>
            <w:tcBorders>
              <w:top w:val="nil"/>
              <w:left w:val="nil"/>
              <w:bottom w:val="nil"/>
              <w:right w:val="nil"/>
            </w:tcBorders>
            <w:vAlign w:val="center"/>
          </w:tcPr>
          <w:p w14:paraId="446A07D6" w14:textId="77777777" w:rsidR="00DC087A" w:rsidRDefault="00000000">
            <w:pPr>
              <w:spacing w:before="40" w:after="40"/>
              <w:jc w:val="center"/>
              <w:rPr>
                <w:rFonts w:hint="eastAsia"/>
              </w:rPr>
            </w:pPr>
            <m:oMathPara>
              <m:oMath>
                <m:r>
                  <w:rPr>
                    <w:rFonts w:ascii="Cambria Math" w:hAnsi="Cambria Math"/>
                  </w:rPr>
                  <m:t>G=D×A×</m:t>
                </m:r>
                <m:sSup>
                  <m:sSupPr>
                    <m:ctrlPr>
                      <w:rPr>
                        <w:rFonts w:ascii="Cambria Math" w:hAnsi="Cambria Math"/>
                      </w:rPr>
                    </m:ctrlPr>
                  </m:sSupPr>
                  <m:e>
                    <m:r>
                      <w:rPr>
                        <w:rFonts w:ascii="Cambria Math" w:hAnsi="Cambria Math"/>
                      </w:rPr>
                      <m:t>D</m:t>
                    </m:r>
                  </m:e>
                  <m:sup>
                    <m:r>
                      <w:rPr>
                        <w:rFonts w:ascii="Cambria Math" w:hAnsi="Cambria Math"/>
                      </w:rPr>
                      <m:t>T</m:t>
                    </m:r>
                  </m:sup>
                </m:sSup>
              </m:oMath>
            </m:oMathPara>
          </w:p>
        </w:tc>
        <w:tc>
          <w:tcPr>
            <w:tcW w:w="500" w:type="pct"/>
            <w:tcBorders>
              <w:top w:val="nil"/>
              <w:left w:val="nil"/>
              <w:bottom w:val="nil"/>
              <w:right w:val="nil"/>
            </w:tcBorders>
            <w:vAlign w:val="center"/>
          </w:tcPr>
          <w:p w14:paraId="2F500211" w14:textId="77777777" w:rsidR="00DC087A" w:rsidRDefault="00000000">
            <w:pPr>
              <w:spacing w:before="40" w:after="40"/>
              <w:jc w:val="right"/>
              <w:rPr>
                <w:rFonts w:hint="eastAsia"/>
              </w:rPr>
            </w:pPr>
            <w:r>
              <w:rPr>
                <w:rFonts w:ascii="Times New Roman" w:hAnsi="Times New Roman" w:cs="Times New Roman"/>
                <w:sz w:val="20"/>
                <w:szCs w:val="20"/>
              </w:rPr>
              <w:t>(3-2)</w:t>
            </w:r>
          </w:p>
        </w:tc>
      </w:tr>
    </w:tbl>
    <w:p w14:paraId="0EE1F5B9" w14:textId="77777777" w:rsidR="00DC087A" w:rsidRDefault="00000000">
      <w:pPr>
        <w:spacing w:line="360" w:lineRule="auto"/>
        <w:ind w:firstLine="480"/>
        <w:rPr>
          <w:rFonts w:hint="eastAsia"/>
        </w:rPr>
        <w:widowControl w:val="1"/>
      </w:pPr>
      <w:r>
        <w:rPr>
          <w:rFonts w:ascii="Times New Roman" w:hAnsi="Times New Roman" w:cs="Times New Roman"/>
        </w:rPr>
        <w:t xml:space="preserve">D 为 3191×33 的分块解码投影，行对应 2922 个蛋白、252 个代谢物和 17 个结局。G[i,j] 表示来源 j 到目标 i 的直接结构投影权重，并非已识别的真实生物因果效应。二分类结局对应 logit 尺度，不能直接解释为概率变化；D 的转置也不等于编码器逆映射。</w:t>
      </w:r>
    </w:p>
    <w:p w14:paraId="7BE078BE" w14:textId="77777777" w:rsidR="00DC087A" w:rsidRDefault="00000000">
      <w:pPr>
        <w:spacing w:line="360" w:lineRule="auto"/>
        <w:ind w:firstLine="480"/>
        <w:rPr>
          <w:rFonts w:hint="eastAsia"/>
        </w:rPr>
        <w:widowControl w:val="1"/>
      </w:pPr>
      <w:r>
        <w:rPr>
          <w:rFonts w:ascii="Times New Roman" w:hAnsi="Times New Roman" w:cs="Times New Roman" w:hint="eastAsia"/>
        </w:rPr>
        <w:t xml:space="preserve">当前训练目录已导出以下核心文件，供 4.2、4.3 分析读取：</w:t>
      </w:r>
    </w:p>
    <w:tbl>
      <w:tblPr>
        <w:tblW w:w="5000" w:type="pct"/>
        <w:tblLayout w:type="fixed"/>
        <w:tblCellMar>
          <w:left w:w="10" w:type="dxa"/>
          <w:right w:w="10" w:type="dxa"/>
        </w:tblCellMar>
        <w:tblLook w:val="04A0" w:firstRow="1" w:lastRow="0" w:firstColumn="1" w:lastColumn="0" w:noHBand="0" w:noVBand="1"/>
      </w:tblPr>
      <w:tblGrid>
        <w:gridCol w:w="2492"/>
        <w:gridCol w:w="5814"/>
      </w:tblGrid>
      <w:tr w:rsidR="00DC087A" w14:paraId="71FA74BA" w14:textId="77777777">
        <w:trPr>
          <w:tblHeader/>
          <w:cantSplit/>
        </w:trPr>
        <w:tc>
          <w:tcPr>
            <w:tcW w:w="1500" w:type="pct"/>
            <w:tcBorders>
              <w:top w:val="single" w:sz="2" w:space="0" w:color="000000"/>
              <w:left w:val="nil"/>
              <w:bottom w:val="single" w:sz="0" w:space="0" w:color="000000"/>
              <w:right w:val="nil"/>
            </w:tcBorders>
            <w:vAlign w:val="center"/>
          </w:tcPr>
          <w:p w14:paraId="60EEF64B" w14:textId="77777777" w:rsidR="00DC087A" w:rsidRDefault="00000000">
            <w:pPr>
              <w:spacing w:before="40" w:after="40" w:line="276" w:lineRule="auto"/>
              <w:jc w:val="center"/>
              <w:rPr>
                <w:rFonts w:hint="eastAsia"/>
              </w:rPr>
            </w:pPr>
            <w:r>
              <w:rPr>
                <w:rFonts w:ascii="Times New Roman" w:hAnsi="Times New Roman" w:cs="Times New Roman"/>
                <w:b/>
                <w:bCs/>
                <w:sz w:val="20"/>
                <w:szCs w:val="20"/>
              </w:rPr>
              <w:t>文件名</w:t>
            </w:r>
          </w:p>
        </w:tc>
        <w:tc>
          <w:tcPr>
            <w:tcW w:w="3500" w:type="pct"/>
            <w:tcBorders>
              <w:top w:val="single" w:sz="2" w:space="0" w:color="000000"/>
              <w:left w:val="nil"/>
              <w:bottom w:val="single" w:sz="0" w:space="0" w:color="000000"/>
              <w:right w:val="nil"/>
            </w:tcBorders>
            <w:vAlign w:val="center"/>
          </w:tcPr>
          <w:p w14:paraId="05276F46" w14:textId="77777777" w:rsidR="00DC087A" w:rsidRDefault="00000000">
            <w:pPr>
              <w:spacing w:before="40" w:after="40" w:line="276" w:lineRule="auto"/>
              <w:jc w:val="center"/>
              <w:rPr>
                <w:rFonts w:hint="eastAsia"/>
              </w:rPr>
            </w:pPr>
            <w:r>
              <w:rPr>
                <w:rFonts w:ascii="Times New Roman" w:hAnsi="Times New Roman" w:cs="Times New Roman"/>
                <w:b/>
                <w:bCs/>
                <w:sz w:val="20"/>
                <w:szCs w:val="20"/>
              </w:rPr>
              <w:t>内容说明</w:t>
            </w:r>
          </w:p>
        </w:tc>
      </w:tr>
      <w:tr w:rsidR="00DC087A" w14:paraId="580F66DE" w14:textId="77777777">
        <w:trPr>
          <w:cantSplit/>
        </w:trPr>
        <w:tc>
          <w:tcPr>
            <w:tcW w:w="1500" w:type="pct"/>
            <w:tcBorders>
              <w:top w:val="nil"/>
              <w:left w:val="nil"/>
              <w:bottom w:val="nil"/>
              <w:right w:val="nil"/>
            </w:tcBorders>
            <w:vAlign w:val="center"/>
          </w:tcPr>
          <w:p w14:paraId="004F29A7" w14:textId="77777777" w:rsidR="00DC087A" w:rsidRDefault="00000000">
            <w:pPr>
              <w:spacing w:before="40" w:after="40" w:line="276" w:lineRule="auto"/>
              <w:jc w:val="left"/>
              <w:rPr>
                <w:rFonts w:hint="eastAsia"/>
              </w:rPr>
            </w:pPr>
            <w:r>
              <w:rPr>
                <w:rFonts w:ascii="Times New Roman" w:hAnsi="Times New Roman" w:cs="Times New Roman"/>
                <w:sz w:val="20"/>
                <w:szCs w:val="20"/>
              </w:rPr>
              <w:t xml:space="preserve">G_protein_to_</w:t>
              <w:br/>
              <w:t xml:space="preserve">outcome.csv</w:t>
            </w:r>
          </w:p>
        </w:tc>
        <w:tc>
          <w:tcPr>
            <w:tcW w:w="3500" w:type="pct"/>
            <w:tcBorders>
              <w:top w:val="nil"/>
              <w:left w:val="nil"/>
              <w:bottom w:val="nil"/>
              <w:right w:val="nil"/>
            </w:tcBorders>
            <w:vAlign w:val="center"/>
          </w:tcPr>
          <w:p w14:paraId="7A5B0394" w14:textId="77777777" w:rsidR="00DC087A" w:rsidRDefault="00000000">
            <w:pPr>
              <w:spacing w:before="40" w:after="40" w:line="276" w:lineRule="auto"/>
              <w:jc w:val="left"/>
              <w:rPr>
                <w:rFonts w:hint="eastAsia"/>
              </w:rPr>
            </w:pPr>
            <w:r>
              <w:rPr>
                <w:rFonts w:ascii="Times New Roman" w:hAnsi="Times New Roman" w:cs="Times New Roman"/>
                <w:sz w:val="20"/>
                <w:szCs w:val="20"/>
              </w:rPr>
              <w:t xml:space="preserve">蛋白→结局的直接结构投影权重</w:t>
            </w:r>
          </w:p>
        </w:tc>
      </w:tr>
      <w:tr w:rsidR="00DC087A" w14:paraId="3C14129B" w14:textId="77777777">
        <w:trPr>
          <w:cantSplit/>
        </w:trPr>
        <w:tc>
          <w:tcPr>
            <w:tcW w:w="1500" w:type="pct"/>
            <w:tcBorders>
              <w:top w:val="nil"/>
              <w:left w:val="nil"/>
              <w:bottom w:val="nil"/>
              <w:right w:val="nil"/>
            </w:tcBorders>
            <w:vAlign w:val="center"/>
          </w:tcPr>
          <w:p w14:paraId="70BA5383" w14:textId="77777777" w:rsidR="00DC087A" w:rsidRDefault="00000000">
            <w:pPr>
              <w:spacing w:before="40" w:after="40" w:line="276" w:lineRule="auto"/>
              <w:jc w:val="left"/>
              <w:rPr>
                <w:rFonts w:hint="eastAsia"/>
              </w:rPr>
            </w:pPr>
            <w:r>
              <w:rPr>
                <w:rFonts w:ascii="Times New Roman" w:hAnsi="Times New Roman" w:cs="Times New Roman"/>
                <w:sz w:val="20"/>
                <w:szCs w:val="20"/>
              </w:rPr>
              <w:t xml:space="preserve">G_metabolite_to_</w:t>
              <w:br/>
              <w:t xml:space="preserve">outcome.csv</w:t>
            </w:r>
          </w:p>
        </w:tc>
        <w:tc>
          <w:tcPr>
            <w:tcW w:w="3500" w:type="pct"/>
            <w:tcBorders>
              <w:top w:val="nil"/>
              <w:left w:val="nil"/>
              <w:bottom w:val="nil"/>
              <w:right w:val="nil"/>
            </w:tcBorders>
            <w:vAlign w:val="center"/>
          </w:tcPr>
          <w:p w14:paraId="78C325C0" w14:textId="77777777" w:rsidR="00DC087A" w:rsidRDefault="00000000">
            <w:pPr>
              <w:spacing w:before="40" w:after="40" w:line="276" w:lineRule="auto"/>
              <w:jc w:val="left"/>
              <w:rPr>
                <w:rFonts w:hint="eastAsia"/>
              </w:rPr>
            </w:pPr>
            <w:r>
              <w:rPr>
                <w:rFonts w:ascii="Times New Roman" w:hAnsi="Times New Roman" w:cs="Times New Roman"/>
                <w:sz w:val="20"/>
                <w:szCs w:val="20"/>
              </w:rPr>
              <w:t xml:space="preserve">代谢物→结局的直接结构投影权重</w:t>
            </w:r>
          </w:p>
        </w:tc>
      </w:tr>
      <w:tr w:rsidR="00DC087A" w14:paraId="559D5EB4" w14:textId="77777777">
        <w:trPr>
          <w:cantSplit/>
        </w:trPr>
        <w:tc>
          <w:tcPr>
            <w:tcW w:w="1500" w:type="pct"/>
            <w:tcBorders>
              <w:top w:val="nil"/>
              <w:left w:val="nil"/>
              <w:bottom w:val="nil"/>
              <w:right w:val="nil"/>
            </w:tcBorders>
            <w:vAlign w:val="center"/>
          </w:tcPr>
          <w:p w14:paraId="137CDEA4" w14:textId="77777777" w:rsidR="00DC087A" w:rsidRDefault="00000000">
            <w:pPr>
              <w:spacing w:before="40" w:after="40" w:line="276" w:lineRule="auto"/>
              <w:jc w:val="left"/>
              <w:rPr>
                <w:rFonts w:hint="eastAsia"/>
              </w:rPr>
            </w:pPr>
            <w:r>
              <w:rPr>
                <w:rFonts w:ascii="Times New Roman" w:hAnsi="Times New Roman" w:cs="Times New Roman"/>
                <w:sz w:val="20"/>
                <w:szCs w:val="20"/>
              </w:rPr>
              <w:t xml:space="preserve">feature_projection_</w:t>
              <w:br/>
              <w:t xml:space="preserve">G.csv</w:t>
            </w:r>
          </w:p>
        </w:tc>
        <w:tc>
          <w:tcPr>
            <w:tcW w:w="3500" w:type="pct"/>
            <w:tcBorders>
              <w:top w:val="nil"/>
              <w:left w:val="nil"/>
              <w:bottom w:val="nil"/>
              <w:right w:val="nil"/>
            </w:tcBorders>
            <w:vAlign w:val="center"/>
          </w:tcPr>
          <w:p w14:paraId="6664E1E8" w14:textId="77777777" w:rsidR="00DC087A" w:rsidRDefault="00000000">
            <w:pPr>
              <w:spacing w:before="40" w:after="40" w:line="276" w:lineRule="auto"/>
              <w:jc w:val="left"/>
              <w:rPr>
                <w:rFonts w:hint="eastAsia"/>
              </w:rPr>
            </w:pPr>
            <w:r>
              <w:rPr>
                <w:rFonts w:ascii="Times New Roman" w:hAnsi="Times New Roman" w:cs="Times New Roman"/>
                <w:sz w:val="20"/>
                <w:szCs w:val="20"/>
              </w:rPr>
              <w:t xml:space="preserve">完整特征层直接投影矩阵 G</w:t>
            </w:r>
          </w:p>
        </w:tc>
      </w:tr>
      <w:tr w:rsidR="00DC087A" w14:paraId="2F0314B7" w14:textId="77777777">
        <w:trPr>
          <w:cantSplit/>
        </w:trPr>
        <w:tc>
          <w:tcPr>
            <w:tcW w:w="1500" w:type="pct"/>
            <w:tcBorders>
              <w:top w:val="nil"/>
              <w:left w:val="nil"/>
              <w:bottom w:val="nil"/>
              <w:right w:val="nil"/>
            </w:tcBorders>
            <w:vAlign w:val="center"/>
          </w:tcPr>
          <w:p w14:paraId="68A78523" w14:textId="77777777" w:rsidR="00DC087A" w:rsidRDefault="00000000">
            <w:pPr>
              <w:spacing w:before="40" w:after="40" w:line="276" w:lineRule="auto"/>
              <w:jc w:val="left"/>
              <w:rPr>
                <w:rFonts w:hint="eastAsia"/>
              </w:rPr>
            </w:pPr>
            <w:r>
              <w:rPr>
                <w:rFonts w:ascii="Times New Roman" w:hAnsi="Times New Roman" w:cs="Times New Roman"/>
                <w:sz w:val="20"/>
                <w:szCs w:val="20"/>
              </w:rPr>
              <w:t>latent_causal_A.csv</w:t>
            </w:r>
          </w:p>
        </w:tc>
        <w:tc>
          <w:tcPr>
            <w:tcW w:w="3500" w:type="pct"/>
            <w:tcBorders>
              <w:top w:val="nil"/>
              <w:left w:val="nil"/>
              <w:bottom w:val="nil"/>
              <w:right w:val="nil"/>
            </w:tcBorders>
            <w:vAlign w:val="center"/>
          </w:tcPr>
          <w:p w14:paraId="637149B7" w14:textId="77777777" w:rsidR="00DC087A" w:rsidRDefault="00000000">
            <w:pPr>
              <w:spacing w:before="40" w:after="40" w:line="276" w:lineRule="auto"/>
              <w:jc w:val="left"/>
              <w:rPr>
                <w:rFonts w:hint="eastAsia"/>
              </w:rPr>
            </w:pPr>
            <w:r>
              <w:rPr>
                <w:rFonts w:ascii="Times New Roman" w:hAnsi="Times New Roman" w:cs="Times New Roman"/>
                <w:sz w:val="20"/>
                <w:szCs w:val="20"/>
              </w:rPr>
              <w:t xml:space="preserve">33×33 共享潜变量邻接矩阵 A</w:t>
            </w:r>
          </w:p>
        </w:tc>
      </w:tr>
      <w:tr w:rsidR="00DC087A" w14:paraId="57C44C03" w14:textId="77777777">
        <w:trPr>
          <w:cantSplit/>
        </w:trPr>
        <w:tc>
          <w:tcPr>
            <w:tcW w:w="1500" w:type="pct"/>
            <w:tcBorders>
              <w:top w:val="nil"/>
              <w:left w:val="nil"/>
              <w:bottom w:val="single" w:sz="2" w:space="0" w:color="000000"/>
              <w:right w:val="nil"/>
            </w:tcBorders>
            <w:vAlign w:val="center"/>
          </w:tcPr>
          <w:p w14:paraId="176DF96A" w14:textId="77777777" w:rsidR="00DC087A" w:rsidRDefault="00000000">
            <w:pPr>
              <w:spacing w:before="40" w:after="40" w:line="276" w:lineRule="auto"/>
              <w:jc w:val="left"/>
              <w:rPr>
                <w:rFonts w:hint="eastAsia"/>
              </w:rPr>
            </w:pPr>
            <w:r>
              <w:rPr>
                <w:rFonts w:ascii="Times New Roman" w:hAnsi="Times New Roman" w:cs="Times New Roman"/>
                <w:sz w:val="20"/>
                <w:szCs w:val="20"/>
              </w:rPr>
              <w:t xml:space="preserve">decoder_projection_</w:t>
              <w:br/>
              <w:t xml:space="preserve">D.csv</w:t>
            </w:r>
          </w:p>
        </w:tc>
        <w:tc>
          <w:tcPr>
            <w:tcW w:w="3500" w:type="pct"/>
            <w:tcBorders>
              <w:top w:val="nil"/>
              <w:left w:val="nil"/>
              <w:bottom w:val="single" w:sz="2" w:space="0" w:color="000000"/>
              <w:right w:val="nil"/>
            </w:tcBorders>
            <w:vAlign w:val="center"/>
          </w:tcPr>
          <w:p w14:paraId="000D0407" w14:textId="77777777" w:rsidR="00DC087A" w:rsidRDefault="00000000">
            <w:pPr>
              <w:spacing w:before="40" w:after="40" w:line="276" w:lineRule="auto"/>
              <w:jc w:val="left"/>
              <w:rPr>
                <w:rFonts w:hint="eastAsia"/>
              </w:rPr>
            </w:pPr>
            <w:r>
              <w:rPr>
                <w:rFonts w:ascii="Times New Roman" w:hAnsi="Times New Roman" w:cs="Times New Roman"/>
                <w:sz w:val="20"/>
                <w:szCs w:val="20"/>
              </w:rPr>
              <w:t xml:space="preserve">3191×33 共享解码权重投影 D</w:t>
            </w:r>
          </w:p>
        </w:tc>
      </w:tr>
    </w:tbl>
    <w:p w14:paraId="555415C0" w14:textId="77777777" w:rsidR="00DC087A" w:rsidRDefault="00DC087A">
      <w:pPr>
        <w:pStyle w:val="1"/>
        <w:jc w:val="center"/>
        <w:rPr>
          <w:rFonts w:hint="eastAsia"/>
        </w:rPr>
      </w:pPr>
    </w:p>
    <w:p w14:paraId="61631831" w14:textId="77777777" w:rsidR="00DC087A" w:rsidRDefault="00000000">
      <w:pPr>
        <w:pStyle w:val="1"/>
        <w:jc w:val="center"/>
        <w:rPr>
          <w:rFonts w:hint="eastAsia"/>
        </w:rPr>
        <w:keepNext w:val="1"/>
      </w:pPr>
      <w:r>
        <w:t>四、</w:t>
      </w:r>
      <w:r>
        <w:rPr>
          <w:rFonts w:hint="eastAsia"/>
        </w:rPr>
        <w:t>研究内容</w:t>
      </w:r>
    </w:p>
    <w:p w14:paraId="244E0207" w14:textId="77777777" w:rsidR="00DC087A" w:rsidRDefault="00000000">
      <w:pPr>
        <w:pStyle w:val="2"/>
        <w:rPr>
          <w:rFonts w:hint="eastAsia"/>
        </w:rPr>
        <w:keepNext w:val="1"/>
      </w:pPr>
      <w:r>
        <w:t>4.1 模型定型与结果导出</w:t>
      </w:r>
    </w:p>
    <w:p w14:paraId="32A7A58F" w14:textId="77777777" w:rsidR="00DC087A" w:rsidRDefault="00000000">
      <w:pPr>
        <w:spacing w:line="360" w:lineRule="auto"/>
        <w:ind w:firstLine="480"/>
        <w:rPr>
          <w:rFonts w:ascii="Times New Roman" w:hAnsi="Times New Roman" w:cs="Times New Roman"/>
        </w:rPr>
        <w:widowControl w:val="1"/>
      </w:pPr>
      <w:r>
        <w:rPr>
          <w:rFonts w:ascii="Times New Roman" w:hAnsi="Times New Roman" w:cs="Times New Roman" w:hint="eastAsia"/>
        </w:rPr>
        <w:t xml:space="preserve">当前全特征流程使用 data/structured_full/ 中的结构化输入，按唯一 eid 连接。现有汇总为 1950 行，模态可用阈值为已观测特征比例不低于 0.5，对应蛋白可用 210 行、代谢物可用 1046 行、双模态可用 122 行。这些数据包含增强记录，不应将 1950 行写成 1950 名独立 ACLF 患者。</w:t>
      </w:r>
    </w:p>
    <w:p w14:paraId="4B9481E4" w14:textId="77777777" w:rsidR="00DC087A" w:rsidRDefault="00000000">
      <w:pPr>
        <w:spacing w:line="360" w:lineRule="auto"/>
        <w:ind w:firstLine="480"/>
        <w:rPr>
          <w:rFonts w:ascii="Times New Roman" w:hAnsi="Times New Roman" w:cs="Times New Roman"/>
        </w:rPr>
        <w:widowControl w:val="1"/>
      </w:pPr>
      <w:r>
        <w:rPr>
          <w:rFonts w:ascii="Times New Roman" w:hAnsi="Times New Roman" w:cs="Times New Roman" w:hint="eastAsia"/>
        </w:rPr>
        <w:t xml:space="preserve">训练分为蛋白预训练、代谢物预训练和双模态联合 SCM 训练。当前 fixed-split 将 split_seed 与 model_seed 分离，划分种子固定为 42。需注意：现有标准化在划分前使用全体可用值，且增强原样本与副本未按原始受试者统一分组，现有验证表现仍受信息泄漏风险限制。</w:t>
      </w:r>
    </w:p>
    <w:p w14:paraId="53E7E7C3" w14:textId="77777777" w:rsidR="00DC087A" w:rsidRDefault="00000000">
      <w:pPr>
        <w:spacing w:line="360" w:lineRule="auto"/>
        <w:ind w:firstLine="480"/>
        <w:rPr>
          <w:rFonts w:hint="eastAsia"/>
        </w:rPr>
        <w:widowControl w:val="1"/>
      </w:pPr>
      <w:r>
        <w:rPr>
          <w:rFonts w:ascii="Times New Roman" w:hAnsi="Times New Roman" w:cs="Times New Roman"/>
        </w:rPr>
        <w:t xml:space="preserve">现有 fixed-split 与历史 variable-split 均保留多 seed 产物。4.2、4.3 使用 fixed_split/model_seed_456 为 Primary，variable_split/seed_456、seed_789 为 Replication，fixed_split/model_seed_789 为 Sensitivity；路径均位于 artifacts/multiseed/。四模型分别计算与比较，不平均其 A 或效应。历史目录名不能替代缺失的 seed 记录。</w:t>
      </w:r>
    </w:p>
    <w:p w14:paraId="21659956" w14:textId="77777777" w:rsidR="00DC087A" w:rsidRDefault="00000000">
      <w:pPr>
        <w:spacing w:line="360" w:lineRule="auto"/>
        <w:ind w:firstLine="480"/>
        <w:rPr>
          <w:rFonts w:hint="eastAsia"/>
        </w:rPr>
        <w:widowControl w:val="1"/>
      </w:pPr>
      <w:r>
        <w:rPr>
          <w:rFonts w:ascii="Times New Roman" w:hAnsi="Times New Roman" w:cs="Times New Roman"/>
        </w:rPr>
        <w:t xml:space="preserve">已有权重、训练历史、A、D、G 与结局预测导出；模型定型仍需综合审查下列指标，而不能仅依据训练损失：</w:t>
      </w:r>
    </w:p>
    <w:tbl>
      <w:tblPr>
        <w:tblW w:w="5000" w:type="pct"/>
        <w:tblLayout w:type="fixed"/>
        <w:tblCellMar>
          <w:left w:w="10" w:type="dxa"/>
          <w:right w:w="10" w:type="dxa"/>
        </w:tblCellMar>
        <w:tblLook w:val="04A0" w:firstRow="1" w:lastRow="0" w:firstColumn="1" w:lastColumn="0" w:noHBand="0" w:noVBand="1"/>
      </w:tblPr>
      <w:tblGrid>
        <w:gridCol w:w="3062"/>
        <w:gridCol w:w="5244"/>
      </w:tblGrid>
      <w:tr w:rsidR="00DC087A" w14:paraId="2BE5612C" w14:textId="77777777">
        <w:trPr>
          <w:tblHeader/>
          <w:cantSplit/>
        </w:trPr>
        <w:tc>
          <w:tcPr>
            <w:tcW w:w="1843" w:type="pct"/>
            <w:tcBorders>
              <w:top w:val="single" w:sz="2" w:space="0" w:color="000000"/>
              <w:left w:val="nil"/>
              <w:bottom w:val="single" w:sz="0" w:space="0" w:color="000000"/>
              <w:right w:val="nil"/>
            </w:tcBorders>
            <w:shd w:val="clear" w:color="auto" w:fill="D9E2F3"/>
            <w:vAlign w:val="center"/>
          </w:tcPr>
          <w:p w14:paraId="4F53BECD" w14:textId="77777777" w:rsidR="00DC087A" w:rsidRDefault="00000000">
            <w:pPr>
              <w:spacing w:before="40" w:after="40" w:line="276" w:lineRule="auto"/>
              <w:jc w:val="center"/>
              <w:rPr>
                <w:rFonts w:ascii="Times New Roman" w:hAnsi="Times New Roman" w:cs="Times New Roman"/>
                <w:b/>
                <w:bCs/>
              </w:rPr>
            </w:pPr>
            <w:r>
              <w:rPr>
                <w:rFonts w:ascii="Times New Roman" w:hAnsi="Times New Roman" w:cs="Times New Roman"/>
                <w:b/>
                <w:bCs/>
              </w:rPr>
              <w:t>评估维度</w:t>
            </w:r>
          </w:p>
        </w:tc>
        <w:tc>
          <w:tcPr>
            <w:tcW w:w="3156" w:type="pct"/>
            <w:tcBorders>
              <w:top w:val="single" w:sz="2" w:space="0" w:color="000000"/>
              <w:left w:val="nil"/>
              <w:bottom w:val="single" w:sz="0" w:space="0" w:color="000000"/>
              <w:right w:val="nil"/>
            </w:tcBorders>
            <w:shd w:val="clear" w:color="auto" w:fill="D9E2F3"/>
            <w:vAlign w:val="center"/>
          </w:tcPr>
          <w:p w14:paraId="1A02C910" w14:textId="77777777" w:rsidR="00DC087A" w:rsidRDefault="00000000">
            <w:pPr>
              <w:spacing w:before="40" w:after="40" w:line="276" w:lineRule="auto"/>
              <w:jc w:val="center"/>
              <w:rPr>
                <w:rFonts w:ascii="Times New Roman" w:hAnsi="Times New Roman" w:cs="Times New Roman"/>
                <w:b/>
                <w:bCs/>
              </w:rPr>
            </w:pPr>
            <w:r>
              <w:rPr>
                <w:rFonts w:ascii="Times New Roman" w:hAnsi="Times New Roman" w:cs="Times New Roman"/>
                <w:b/>
                <w:bCs/>
              </w:rPr>
              <w:t>具体指标</w:t>
            </w:r>
          </w:p>
        </w:tc>
      </w:tr>
      <w:tr w:rsidR="00DC087A" w14:paraId="40FA0725" w14:textId="77777777">
        <w:trPr>
          <w:trHeight w:val="567"/>
          <w:cantSplit/>
        </w:trPr>
        <w:tc>
          <w:tcPr>
            <w:tcW w:w="1843" w:type="pct"/>
            <w:tcBorders>
              <w:top w:val="nil"/>
              <w:left w:val="nil"/>
              <w:bottom w:val="nil"/>
              <w:right w:val="nil"/>
            </w:tcBorders>
            <w:vAlign w:val="center"/>
          </w:tcPr>
          <w:p w14:paraId="09DB44DF" w14:textId="77777777" w:rsidR="00DC087A" w:rsidRDefault="00000000">
            <w:pPr>
              <w:spacing w:before="40" w:after="40" w:line="276" w:lineRule="auto"/>
              <w:jc w:val="center"/>
              <w:rPr>
                <w:rFonts w:ascii="Times New Roman" w:hAnsi="Times New Roman" w:cs="Times New Roman"/>
              </w:rPr>
            </w:pPr>
            <w:r>
              <w:rPr>
                <w:rFonts w:ascii="Times New Roman" w:hAnsi="Times New Roman" w:cs="Times New Roman"/>
              </w:rPr>
              <w:t>重构质量</w:t>
            </w:r>
          </w:p>
        </w:tc>
        <w:tc>
          <w:tcPr>
            <w:tcW w:w="3156" w:type="pct"/>
            <w:tcBorders>
              <w:top w:val="nil"/>
              <w:left w:val="nil"/>
              <w:bottom w:val="nil"/>
              <w:right w:val="nil"/>
            </w:tcBorders>
            <w:vAlign w:val="center"/>
          </w:tcPr>
          <w:p w14:paraId="7164A4D4" w14:textId="77777777" w:rsidR="00DC087A" w:rsidRDefault="00000000">
            <w:pPr>
              <w:spacing w:before="40" w:after="40" w:line="276" w:lineRule="auto"/>
              <w:rPr>
                <w:rFonts w:ascii="Times New Roman" w:hAnsi="Times New Roman" w:cs="Times New Roman"/>
              </w:rPr>
            </w:pPr>
            <w:r>
              <w:rPr>
                <w:rFonts w:ascii="Times New Roman" w:hAnsi="Times New Roman" w:cs="Times New Roman"/>
              </w:rPr>
              <w:t xml:space="preserve">组学掩码重构误差、连续结局 MSE、二分类结局 BCE；核对有效样本与缺失率</w:t>
            </w:r>
          </w:p>
        </w:tc>
      </w:tr>
      <w:tr w:rsidR="00DC087A" w14:paraId="253D3569" w14:textId="77777777">
        <w:trPr>
          <w:trHeight w:val="567"/>
          <w:cantSplit/>
        </w:trPr>
        <w:tc>
          <w:tcPr>
            <w:tcW w:w="1843" w:type="pct"/>
            <w:tcBorders>
              <w:top w:val="nil"/>
              <w:left w:val="nil"/>
              <w:bottom w:val="nil"/>
              <w:right w:val="nil"/>
            </w:tcBorders>
            <w:vAlign w:val="center"/>
          </w:tcPr>
          <w:p w14:paraId="31D7AF3F" w14:textId="77777777" w:rsidR="00DC087A" w:rsidRDefault="00000000">
            <w:pPr>
              <w:spacing w:before="40" w:after="40" w:line="276" w:lineRule="auto"/>
              <w:jc w:val="center"/>
              <w:rPr>
                <w:rFonts w:ascii="Times New Roman" w:hAnsi="Times New Roman" w:cs="Times New Roman"/>
              </w:rPr>
            </w:pPr>
            <w:r>
              <w:rPr>
                <w:rFonts w:ascii="Times New Roman" w:hAnsi="Times New Roman" w:cs="Times New Roman"/>
              </w:rPr>
              <w:t>图结构质量</w:t>
            </w:r>
          </w:p>
        </w:tc>
        <w:tc>
          <w:tcPr>
            <w:tcW w:w="3156" w:type="pct"/>
            <w:tcBorders>
              <w:top w:val="nil"/>
              <w:left w:val="nil"/>
              <w:bottom w:val="nil"/>
              <w:right w:val="nil"/>
            </w:tcBorders>
            <w:vAlign w:val="center"/>
          </w:tcPr>
          <w:p w14:paraId="00E86C76" w14:textId="77777777" w:rsidR="00DC087A" w:rsidRDefault="00000000">
            <w:pPr>
              <w:spacing w:before="40" w:after="40" w:line="276" w:lineRule="auto"/>
              <w:rPr>
                <w:rFonts w:ascii="Times New Roman" w:hAnsi="Times New Roman" w:cs="Times New Roman"/>
              </w:rPr>
            </w:pPr>
            <w:r>
              <w:rPr>
                <w:rFonts w:ascii="Times New Roman" w:hAnsi="Times New Roman" w:cs="Times New Roman"/>
              </w:rPr>
              <w:t xml:space="preserve">SCM 稀疏度、组学子块 DAG 惩罚、block gate；A 的谱半径与 I−A 条件数</w:t>
            </w:r>
          </w:p>
        </w:tc>
      </w:tr>
      <w:tr w:rsidR="00DC087A" w14:paraId="06D9778D" w14:textId="77777777">
        <w:trPr>
          <w:trHeight w:val="567"/>
          <w:cantSplit/>
        </w:trPr>
        <w:tc>
          <w:tcPr>
            <w:tcW w:w="1843" w:type="pct"/>
            <w:tcBorders>
              <w:top w:val="nil"/>
              <w:left w:val="nil"/>
              <w:bottom w:val="single" w:sz="2" w:space="0" w:color="000000"/>
              <w:right w:val="nil"/>
            </w:tcBorders>
            <w:vAlign w:val="center"/>
          </w:tcPr>
          <w:p w14:paraId="4D68D522" w14:textId="77777777" w:rsidR="00DC087A" w:rsidRDefault="00000000">
            <w:pPr>
              <w:spacing w:before="40" w:after="40" w:line="276" w:lineRule="auto"/>
              <w:jc w:val="center"/>
              <w:rPr>
                <w:rFonts w:ascii="Times New Roman" w:hAnsi="Times New Roman" w:cs="Times New Roman"/>
              </w:rPr>
            </w:pPr>
            <w:r>
              <w:rPr>
                <w:rFonts w:ascii="Times New Roman" w:hAnsi="Times New Roman" w:cs="Times New Roman"/>
              </w:rPr>
              <w:t>稳定性</w:t>
            </w:r>
          </w:p>
        </w:tc>
        <w:tc>
          <w:tcPr>
            <w:tcW w:w="3156" w:type="pct"/>
            <w:tcBorders>
              <w:top w:val="nil"/>
              <w:left w:val="nil"/>
              <w:bottom w:val="single" w:sz="2" w:space="0" w:color="000000"/>
              <w:right w:val="nil"/>
            </w:tcBorders>
            <w:vAlign w:val="center"/>
          </w:tcPr>
          <w:p w14:paraId="21173CD7" w14:textId="77777777" w:rsidR="00DC087A" w:rsidRDefault="00000000">
            <w:pPr>
              <w:spacing w:before="40" w:after="40" w:line="276" w:lineRule="auto"/>
              <w:rPr>
                <w:rFonts w:ascii="Times New Roman" w:hAnsi="Times New Roman" w:cs="Times New Roman"/>
              </w:rPr>
            </w:pPr>
            <w:r>
              <w:rPr>
                <w:rFonts w:ascii="Times New Roman" w:hAnsi="Times New Roman" w:cs="Times New Roman"/>
              </w:rPr>
              <w:t xml:space="preserve">分开比较 fixed/variable split；逐 Outcome Spearman、Top-K Jaccard 与同号支持</w:t>
            </w:r>
          </w:p>
        </w:tc>
      </w:tr>
    </w:tbl>
    <w:p w14:paraId="23BD60F5" w14:textId="77777777" w:rsidR="00DC087A" w:rsidRDefault="00DC087A">
      <w:pPr>
        <w:spacing w:line="360" w:lineRule="auto"/>
        <w:ind w:firstLine="480"/>
        <w:rPr>
          <w:rFonts w:ascii="Times New Roman" w:hAnsi="Times New Roman" w:cs="Times New Roman"/>
        </w:rPr>
        <w:widowControl w:val="1"/>
      </w:pPr>
    </w:p>
    <w:p w14:paraId="034BC628" w14:textId="77777777" w:rsidR="00DC087A" w:rsidRDefault="00000000">
      <w:pPr>
        <w:spacing w:line="360" w:lineRule="auto"/>
        <w:ind w:firstLine="480"/>
        <w:rPr>
          <w:rFonts w:hint="eastAsia"/>
        </w:rPr>
        <w:widowControl w:val="1"/>
      </w:pPr>
      <w:r>
        <w:rPr>
          <w:rFonts w:ascii="Times New Roman" w:hAnsi="Times New Roman" w:cs="Times New Roman"/>
        </w:rPr>
        <w:t xml:space="preserve">模型结果应结合独立验证和数据溯源解释。进入扰动实验前须逐模型核验六组训练/验证 EID、split_seed、model_seed、预处理参数和完整权重。旧 checkpoint 若含 enc_outcome.* 或 outcome_head.*，须通过明确的迁移方案与严格键、形状检查；不能静默过滤后直接作为同一实验模型使用。</w:t>
      </w:r>
    </w:p>
    <w:p w14:paraId="4C15382B" w14:textId="77777777" w:rsidR="00DC087A" w:rsidRDefault="00000000">
      <w:pPr>
        <w:pStyle w:val="2"/>
        <w:rPr>
          <w:rFonts w:hint="eastAsia"/>
        </w:rPr>
        <w:keepNext w:val="1"/>
      </w:pPr>
      <w:r>
        <w:t>4.2 直接效应候选筛选</w:t>
      </w:r>
    </w:p>
    <w:p w14:paraId="27438C5A" w14:textId="36C72B4B" w:rsidR="00DC087A" w:rsidRDefault="00000000">
      <w:pPr>
        <w:spacing w:line="360" w:lineRule="auto"/>
        <w:ind w:firstLine="480"/>
        <w:rPr>
          <w:rFonts w:hint="eastAsia"/>
        </w:rPr>
        <w:widowControl w:val="1"/>
      </w:pPr>
      <w:r>
        <w:rPr>
          <w:rFonts w:ascii="Times New Roman" w:hAnsi="Times New Roman" w:cs="Times New Roman"/>
        </w:rPr>
        <w:t xml:space="preserve">4.2 已基于 G_protein_to_outcome.csv 和 G_metabolite_to_outcome.csv 完成结果导出。矩阵行为 Outcome、列为分子，分析单位为 feature→Outcome 边，共覆盖 17 个结局与 53,958 条边。保留带符号 effect、abs_effect 及 Outcome 内排名，不重训练模型。</w:t>
      </w:r>
    </w:p>
    <w:p w14:paraId="4B78D4AC" w14:textId="77777777" w:rsidR="00DC087A" w:rsidRDefault="00000000">
      <w:pPr>
        <w:spacing w:line="360" w:lineRule="auto"/>
        <w:rPr>
          <w:rFonts w:hint="eastAsia"/>
        </w:rPr>
        <w:widowControl w:val="1"/>
      </w:pPr>
      <w:r>
        <w:rPr>
          <w:rFonts w:ascii="Times New Roman" w:hAnsi="Times New Roman" w:cs="Times New Roman"/>
        </w:rPr>
        <w:t xml:space="preserve">在每个 modality×Outcome 内按绝对效应降序、原始 feature 编码升序处理并列值；直接效应排名定义为：</w:t>
      </w:r>
    </w:p>
    <w:tbl>
      <w:tblPr>
        <w:tblW w:w="5000" w:type="pct"/>
        <w:tblCellMar>
          <w:left w:w="10" w:type="dxa"/>
          <w:right w:w="10" w:type="dxa"/>
        </w:tblCellMar>
        <w:tblLook w:val="04A0" w:firstRow="1" w:lastRow="0" w:firstColumn="1" w:lastColumn="0" w:noHBand="0" w:noVBand="1"/>
      </w:tblPr>
      <w:tblGrid>
        <w:gridCol w:w="830"/>
        <w:gridCol w:w="6645"/>
        <w:gridCol w:w="831"/>
      </w:tblGrid>
      <w:tr w:rsidR="00DC087A" w14:paraId="091A549A" w14:textId="77777777">
        <w:tc>
          <w:tcPr>
            <w:tcW w:w="500" w:type="pct"/>
            <w:tcBorders>
              <w:top w:val="nil"/>
              <w:left w:val="nil"/>
              <w:bottom w:val="nil"/>
              <w:right w:val="nil"/>
            </w:tcBorders>
          </w:tcPr>
          <w:p w14:paraId="0D04C6E8" w14:textId="77777777" w:rsidR="00DC087A" w:rsidRDefault="00DC087A">
            <w:pPr>
              <w:rPr>
                <w:rFonts w:hint="eastAsia"/>
              </w:rPr>
            </w:pPr>
          </w:p>
        </w:tc>
        <w:tc>
          <w:tcPr>
            <w:tcW w:w="4000" w:type="pct"/>
            <w:tcBorders>
              <w:top w:val="nil"/>
              <w:left w:val="nil"/>
              <w:bottom w:val="nil"/>
              <w:right w:val="nil"/>
            </w:tcBorders>
            <w:vAlign w:val="center"/>
          </w:tcPr>
          <w:p w14:paraId="24C1F7DF" w14:textId="52B95BA4" w:rsidR="00DC087A" w:rsidRDefault="00000000">
            <w:pPr>
              <w:spacing w:before="40" w:after="40"/>
              <w:jc w:val="center"/>
              <w:rPr>
                <w:rFonts w:hint="eastAsia"/>
              </w:rPr>
            </w:pPr>
            <m:oMathPara>
              <m:oMath>
                <m:sSub>
                  <m:e>
                    <m:r>
                      <m:rPr>
                        <m:sty m:val="p"/>
                      </m:rPr>
                      <w:rPr>
                        <w:rFonts w:ascii="Cambria Math"/>
                        <w:sz w:val="24"/>
                      </w:rPr>
                      <m:t xml:space="preserve">r</m:t>
                    </m:r>
                  </m:e>
                  <m:sub>
                    <m:r>
                      <m:rPr>
                        <m:sty m:val="p"/>
                      </m:rPr>
                      <w:rPr>
                        <w:rFonts w:ascii="Cambria Math"/>
                        <w:sz w:val="24"/>
                      </w:rPr>
                      <m:t xml:space="preserve">j,k</m:t>
                    </m:r>
                  </m:sub>
                </m:sSub>
                <m:r>
                  <m:rPr>
                    <m:sty m:val="p"/>
                  </m:rPr>
                  <w:rPr>
                    <w:rFonts w:ascii="Cambria Math"/>
                    <w:sz w:val="24"/>
                  </w:rPr>
                  <m:t xml:space="preserve"> = rank↓(|G[k,j]|)</m:t>
                </m:r>
              </m:oMath>
            </m:oMathPara>
          </w:p>
        </w:tc>
        <w:tc>
          <w:tcPr>
            <w:tcW w:w="500" w:type="pct"/>
            <w:tcBorders>
              <w:top w:val="nil"/>
              <w:left w:val="nil"/>
              <w:bottom w:val="nil"/>
              <w:right w:val="nil"/>
            </w:tcBorders>
            <w:vAlign w:val="center"/>
          </w:tcPr>
          <w:p w14:paraId="29FEEE67" w14:textId="77777777" w:rsidR="00DC087A" w:rsidRDefault="00000000">
            <w:pPr>
              <w:spacing w:before="40" w:after="40"/>
              <w:jc w:val="right"/>
              <w:rPr>
                <w:rFonts w:hint="eastAsia"/>
              </w:rPr>
            </w:pPr>
            <w:r>
              <w:rPr>
                <w:rFonts w:ascii="Times New Roman" w:hAnsi="Times New Roman" w:cs="Times New Roman"/>
                <w:sz w:val="20"/>
                <w:szCs w:val="20"/>
              </w:rPr>
              <w:t>(4-1)</w:t>
            </w:r>
          </w:p>
        </w:tc>
      </w:tr>
    </w:tbl>
    <w:p w14:paraId="0C86C7CA" w14:textId="77777777" w:rsidR="00AA377E" w:rsidRDefault="00AA377E" w:rsidP="00AA377E">
      <w:pPr>
        <w:spacing w:line="360" w:lineRule="auto"/>
        <w:ind w:firstLine="480"/>
        <w:rPr>
          <w:rFonts w:ascii="Times New Roman" w:hAnsi="Times New Roman" w:cs="Times New Roman"/>
        </w:rPr>
        <w:widowControl w:val="1"/>
      </w:pPr>
      <w:r>
        <w:rPr>
          <w:rFonts w:ascii="Times New Roman" w:hAnsi="Times New Roman" w:cs="Times New Roman"/>
        </w:rPr>
        <w:t xml:space="preserve">蛋白与代谢物分别在每个 Outcome 内排序，主表保留 ALB、ALP、ALT、AST、CRP、Crea、DBil、GGT、NEUT、NEUT_P、PLT、TBil、Urea、WBC 及三个 hepatic failure 标签。不存在跨 Outcome 加权 DirectScore，也不做 Tier 分层。跨模型比较统计方向同号数量（其他三模型，0–3）、Top20/50/100 支持数（四模型，0–4）、全边绝对效应排名 Spearman 与 Top-K Jaccard。</w:t>
      </w:r>
    </w:p>
    <w:p w14:paraId="523E5163" w14:textId="3BC51922" w:rsidR="00AA377E" w:rsidRDefault="00AA377E" w:rsidP="00AA377E">
      <w:pPr>
        <w:spacing w:line="360" w:lineRule="auto"/>
        <w:ind w:firstLine="480"/>
        <w:rPr>
          <w:rFonts w:ascii="Times New Roman" w:hAnsi="Times New Roman" w:cs="Times New Roman"/>
        </w:rPr>
        <w:widowControl w:val="1"/>
      </w:pPr>
      <w:r>
        <w:rPr>
          <w:rFonts w:ascii="Times New Roman" w:hAnsi="Times New Roman" w:cs="Times New Roman"/>
        </w:rPr>
        <w:t xml:space="preserve">正式结果位于 artifacts/analysis/direct_effect_screening/，包括全部直接边、四模型同边对照、逐 Outcome Top100、稳定性表及跨 Outcome 辅助汇总。当前 Top100 表为 3400 行，稳定性表为 102 行。跨 Outcome 入选次数仅作辅助证据；代谢物通过原始编码连接现有名称字典，名称不参与排序。</w:t>
      </w:r>
    </w:p>
    <w:p w14:paraId="14DC6933" w14:textId="61EA15F6" w:rsidR="00DC087A" w:rsidRDefault="00000000" w:rsidP="00AA377E">
      <w:pPr>
        <w:pStyle w:val="2"/>
        <w:rPr>
          <w:rFonts w:hint="eastAsia"/>
        </w:rPr>
        <w:keepNext w:val="1"/>
      </w:pPr>
      <w:r w:rsidRPr="00AA377E">
        <w:t>4.3 总效应估计</w:t>
      </w:r>
    </w:p>
    <w:p w14:paraId="15142399" w14:textId="77777777" w:rsidR="00DC087A" w:rsidRDefault="00000000">
      <w:pPr>
        <w:spacing w:line="360" w:lineRule="auto"/>
        <w:ind w:firstLine="480"/>
        <w:rPr>
          <w:rFonts w:hint="eastAsia"/>
        </w:rPr>
        <w:widowControl w:val="1"/>
      </w:pPr>
      <w:r>
        <w:rPr>
          <w:rFonts w:ascii="Times New Roman" w:hAnsi="Times New Roman" w:cs="Times New Roman"/>
        </w:rPr>
        <w:t xml:space="preserve">4.3 已完成潜变量 SCM 总结构传播分析：先在 33 维 A 上传播，再投影到分子→Outcome 块，不再对 G_sparse 求逆或展开。此处总效应是模型结构信号，不能直接解释为真实干预效应或治疗价值。</w:t>
      </w:r>
    </w:p>
    <w:p w14:paraId="7DEEB121" w14:textId="77777777" w:rsidR="00DC087A" w:rsidRDefault="00000000">
      <w:pPr>
        <w:spacing w:line="360" w:lineRule="auto"/>
        <w:rPr>
          <w:rFonts w:hint="eastAsia"/>
        </w:rPr>
        <w:widowControl w:val="1"/>
      </w:pPr>
      <w:r>
        <w:rPr>
          <w:rFonts w:ascii="Times New Roman" w:hAnsi="Times New Roman" w:cs="Times New Roman"/>
        </w:rPr>
        <w:t xml:space="preserve">对各模型分别计算总潜变量传播矩阵：</w:t>
      </w:r>
    </w:p>
    <w:tbl>
      <w:tblPr>
        <w:tblW w:w="5000" w:type="pct"/>
        <w:tblCellMar>
          <w:left w:w="10" w:type="dxa"/>
          <w:right w:w="10" w:type="dxa"/>
        </w:tblCellMar>
        <w:tblLook w:val="04A0" w:firstRow="1" w:lastRow="0" w:firstColumn="1" w:lastColumn="0" w:noHBand="0" w:noVBand="1"/>
      </w:tblPr>
      <w:tblGrid>
        <w:gridCol w:w="830"/>
        <w:gridCol w:w="6645"/>
        <w:gridCol w:w="831"/>
      </w:tblGrid>
      <w:tr w:rsidR="00DC087A" w14:paraId="577D200A" w14:textId="77777777">
        <w:tc>
          <w:tcPr>
            <w:tcW w:w="500" w:type="pct"/>
            <w:tcBorders>
              <w:top w:val="nil"/>
              <w:left w:val="nil"/>
              <w:bottom w:val="nil"/>
              <w:right w:val="nil"/>
            </w:tcBorders>
          </w:tcPr>
          <w:p w14:paraId="485E3738" w14:textId="77777777" w:rsidR="00DC087A" w:rsidRDefault="00DC087A">
            <w:pPr>
              <w:rPr>
                <w:rFonts w:hint="eastAsia"/>
              </w:rPr>
            </w:pPr>
          </w:p>
        </w:tc>
        <w:tc>
          <w:tcPr>
            <w:tcW w:w="4000" w:type="pct"/>
            <w:tcBorders>
              <w:top w:val="nil"/>
              <w:left w:val="nil"/>
              <w:bottom w:val="nil"/>
              <w:right w:val="nil"/>
            </w:tcBorders>
            <w:vAlign w:val="center"/>
          </w:tcPr>
          <w:p w14:paraId="68AB1A89" w14:textId="3EF06930" w:rsidR="00DC087A" w:rsidRDefault="00000000">
            <w:pPr>
              <w:spacing w:before="40" w:after="40"/>
              <w:jc w:val="center"/>
              <w:rPr>
                <w:rFonts w:hint="eastAsia"/>
              </w:rPr>
            </w:pPr>
            <m:oMathPara>
              <m:oMath>
                <m:sSub>
                  <m:e>
                    <m:r>
                      <m:rPr>
                        <m:sty m:val="p"/>
                      </m:rPr>
                      <w:rPr>
                        <w:rFonts w:ascii="Cambria Math"/>
                        <w:sz w:val="24"/>
                      </w:rPr>
                      <m:t xml:space="preserve">T</m:t>
                    </m:r>
                  </m:e>
                  <m:sub>
                    <m:r>
                      <m:rPr>
                        <m:sty m:val="p"/>
                      </m:rPr>
                      <w:rPr>
                        <w:rFonts w:ascii="Cambria Math"/>
                        <w:sz w:val="24"/>
                      </w:rPr>
                      <m:t xml:space="preserve">A</m:t>
                    </m:r>
                  </m:sub>
                </m:sSub>
                <m:r>
                  <m:rPr>
                    <m:sty m:val="p"/>
                  </m:rPr>
                  <w:rPr>
                    <w:rFonts w:ascii="Cambria Math"/>
                    <w:sz w:val="24"/>
                  </w:rPr>
                  <m:t xml:space="preserve"> = </m:t>
                </m:r>
                <m:sSup>
                  <m:e>
                    <m:r>
                      <m:rPr>
                        <m:sty m:val="p"/>
                      </m:rPr>
                      <w:rPr>
                        <w:rFonts w:ascii="Cambria Math"/>
                        <w:sz w:val="24"/>
                      </w:rPr>
                      <m:t xml:space="preserve">(I − A)</m:t>
                    </m:r>
                  </m:e>
                  <m:sup>
                    <m:r>
                      <m:rPr>
                        <m:sty m:val="p"/>
                      </m:rPr>
                      <w:rPr>
                        <w:rFonts w:ascii="Cambria Math"/>
                        <w:sz w:val="24"/>
                      </w:rPr>
                      <m:t xml:space="preserve">−1</m:t>
                    </m:r>
                  </m:sup>
                </m:sSup>
                <m:r>
                  <m:rPr>
                    <m:sty m:val="p"/>
                  </m:rPr>
                  <w:rPr>
                    <w:rFonts w:ascii="Cambria Math"/>
                    <w:sz w:val="24"/>
                  </w:rPr>
                  <m:t xml:space="preserve"> − I</m:t>
                </m:r>
              </m:oMath>
            </m:oMathPara>
          </w:p>
        </w:tc>
        <w:tc>
          <w:tcPr>
            <w:tcW w:w="500" w:type="pct"/>
            <w:tcBorders>
              <w:top w:val="nil"/>
              <w:left w:val="nil"/>
              <w:bottom w:val="nil"/>
              <w:right w:val="nil"/>
            </w:tcBorders>
            <w:vAlign w:val="center"/>
          </w:tcPr>
          <w:p w14:paraId="0CABAC81" w14:textId="77777777" w:rsidR="00DC087A" w:rsidRDefault="00000000">
            <w:pPr>
              <w:spacing w:before="40" w:after="40"/>
              <w:jc w:val="right"/>
              <w:rPr>
                <w:rFonts w:hint="eastAsia"/>
              </w:rPr>
            </w:pPr>
            <w:r>
              <w:rPr>
                <w:rFonts w:ascii="Times New Roman" w:hAnsi="Times New Roman" w:cs="Times New Roman"/>
                <w:sz w:val="20"/>
                <w:szCs w:val="20"/>
              </w:rPr>
              <w:t>(4-2)</w:t>
            </w:r>
          </w:p>
        </w:tc>
      </w:tr>
    </w:tbl>
    <w:p w14:paraId="5F4CC9AF" w14:textId="77777777" w:rsidR="00DC087A" w:rsidRDefault="00000000">
      <w:pPr>
        <w:spacing w:line="360" w:lineRule="auto"/>
        <w:ind w:firstLine="480"/>
        <w:rPr>
          <w:rFonts w:hint="eastAsia"/>
        </w:rPr>
        <w:widowControl w:val="1"/>
      </w:pPr>
      <w:r>
        <w:rPr>
          <w:rFonts w:ascii="Times New Roman" w:hAnsi="Times New Roman" w:cs="Times New Roman"/>
        </w:rPr>
        <w:t xml:space="preserve">减去单位矩阵以移除零阶自映射项。随后用同一 D 投影得到总结构传播效应 G_T，并仅保留 Protein/Metabolite→Outcome 块；直接效应仍为 D A Dᵀ。</w:t>
      </w:r>
    </w:p>
    <w:p w14:paraId="4AE95ABB" w14:textId="77777777" w:rsidR="00DC087A" w:rsidRDefault="00000000">
      <w:pPr>
        <w:spacing w:line="360" w:lineRule="auto"/>
        <w:rPr>
          <w:rFonts w:hint="eastAsia"/>
        </w:rPr>
        <w:widowControl w:val="1"/>
      </w:pPr>
      <w:r>
        <w:rPr>
          <w:rFonts w:ascii="Times New Roman" w:hAnsi="Times New Roman" w:cs="Times New Roman"/>
        </w:rPr>
        <w:t xml:space="preserve">数值检查记录 A 的谱半径、I−A 的条件数，并检查奇异性与非有限值。当前四模型谱半径均小于 1，条件数为 1.1350–1.2517。代码尚未实现条件数阈值拒绝或有限阶自动回退。总效应投影为：</w:t>
      </w:r>
    </w:p>
    <w:tbl>
      <w:tblPr>
        <w:tblW w:w="5000" w:type="pct"/>
        <w:tblCellMar>
          <w:left w:w="10" w:type="dxa"/>
          <w:right w:w="10" w:type="dxa"/>
        </w:tblCellMar>
        <w:tblLook w:val="04A0" w:firstRow="1" w:lastRow="0" w:firstColumn="1" w:lastColumn="0" w:noHBand="0" w:noVBand="1"/>
      </w:tblPr>
      <w:tblGrid>
        <w:gridCol w:w="830"/>
        <w:gridCol w:w="6645"/>
        <w:gridCol w:w="831"/>
      </w:tblGrid>
      <w:tr w:rsidR="00DC087A" w14:paraId="5A46C826" w14:textId="77777777">
        <w:tc>
          <w:tcPr>
            <w:tcW w:w="500" w:type="pct"/>
            <w:tcBorders>
              <w:top w:val="nil"/>
              <w:left w:val="nil"/>
              <w:bottom w:val="nil"/>
              <w:right w:val="nil"/>
            </w:tcBorders>
          </w:tcPr>
          <w:p w14:paraId="5B730F8C" w14:textId="77777777" w:rsidR="00DC087A" w:rsidRDefault="00DC087A">
            <w:pPr>
              <w:rPr>
                <w:rFonts w:hint="eastAsia"/>
              </w:rPr>
            </w:pPr>
          </w:p>
        </w:tc>
        <w:tc>
          <w:tcPr>
            <w:tcW w:w="4000" w:type="pct"/>
            <w:tcBorders>
              <w:top w:val="nil"/>
              <w:left w:val="nil"/>
              <w:bottom w:val="nil"/>
              <w:right w:val="nil"/>
            </w:tcBorders>
            <w:vAlign w:val="center"/>
          </w:tcPr>
          <w:p w14:paraId="35144406" w14:textId="5BC439BF" w:rsidR="00DC087A" w:rsidRDefault="00000000">
            <w:pPr>
              <w:spacing w:before="40" w:after="40"/>
              <w:jc w:val="center"/>
              <w:rPr>
                <w:rFonts w:hint="eastAsia"/>
              </w:rPr>
            </w:pPr>
            <m:oMathPara>
              <m:oMath>
                <m:sSub>
                  <m:e>
                    <m:r>
                      <m:rPr>
                        <m:sty m:val="p"/>
                      </m:rPr>
                      <w:rPr>
                        <w:rFonts w:ascii="Cambria Math"/>
                        <w:sz w:val="24"/>
                      </w:rPr>
                      <m:t xml:space="preserve">G</m:t>
                    </m:r>
                  </m:e>
                  <m:sub>
                    <m:r>
                      <m:rPr>
                        <m:sty m:val="p"/>
                      </m:rPr>
                      <w:rPr>
                        <w:rFonts w:ascii="Cambria Math"/>
                        <w:sz w:val="24"/>
                      </w:rPr>
                      <m:t xml:space="preserve">T</m:t>
                    </m:r>
                  </m:sub>
                </m:sSub>
                <m:r>
                  <m:rPr>
                    <m:sty m:val="p"/>
                  </m:rPr>
                  <w:rPr>
                    <w:rFonts w:ascii="Cambria Math"/>
                    <w:sz w:val="24"/>
                  </w:rPr>
                  <m:t xml:space="preserve"> = D × </m:t>
                </m:r>
                <m:sSub>
                  <m:e>
                    <m:r>
                      <m:rPr>
                        <m:sty m:val="p"/>
                      </m:rPr>
                      <w:rPr>
                        <w:rFonts w:ascii="Cambria Math"/>
                        <w:sz w:val="24"/>
                      </w:rPr>
                      <m:t xml:space="preserve">T</m:t>
                    </m:r>
                  </m:e>
                  <m:sub>
                    <m:r>
                      <m:rPr>
                        <m:sty m:val="p"/>
                      </m:rPr>
                      <w:rPr>
                        <w:rFonts w:ascii="Cambria Math"/>
                        <w:sz w:val="24"/>
                      </w:rPr>
                      <m:t xml:space="preserve">A</m:t>
                    </m:r>
                  </m:sub>
                </m:sSub>
                <m:r>
                  <m:rPr>
                    <m:sty m:val="p"/>
                  </m:rPr>
                  <w:rPr>
                    <w:rFonts w:ascii="Cambria Math"/>
                    <w:sz w:val="24"/>
                  </w:rPr>
                  <m:t xml:space="preserve"> × </m:t>
                </m:r>
                <m:sSup>
                  <m:e>
                    <m:r>
                      <m:rPr>
                        <m:sty m:val="p"/>
                      </m:rPr>
                      <w:rPr>
                        <w:rFonts w:ascii="Cambria Math"/>
                        <w:sz w:val="24"/>
                      </w:rPr>
                      <m:t xml:space="preserve">D</m:t>
                    </m:r>
                  </m:e>
                  <m:sup>
                    <m:r>
                      <m:rPr>
                        <m:sty m:val="p"/>
                      </m:rPr>
                      <w:rPr>
                        <w:rFonts w:ascii="Cambria Math"/>
                        <w:sz w:val="24"/>
                      </w:rPr>
                      <m:t xml:space="preserve">T</m:t>
                    </m:r>
                  </m:sup>
                </m:sSup>
              </m:oMath>
            </m:oMathPara>
          </w:p>
        </w:tc>
        <w:tc>
          <w:tcPr>
            <w:tcW w:w="500" w:type="pct"/>
            <w:tcBorders>
              <w:top w:val="nil"/>
              <w:left w:val="nil"/>
              <w:bottom w:val="nil"/>
              <w:right w:val="nil"/>
            </w:tcBorders>
            <w:vAlign w:val="center"/>
          </w:tcPr>
          <w:p w14:paraId="3E5E3EE1" w14:textId="77777777" w:rsidR="00DC087A" w:rsidRDefault="00000000">
            <w:pPr>
              <w:spacing w:before="40" w:after="40"/>
              <w:jc w:val="right"/>
              <w:rPr>
                <w:rFonts w:hint="eastAsia"/>
              </w:rPr>
            </w:pPr>
            <w:r>
              <w:rPr>
                <w:rFonts w:ascii="Times New Roman" w:hAnsi="Times New Roman" w:cs="Times New Roman"/>
                <w:sz w:val="20"/>
                <w:szCs w:val="20"/>
              </w:rPr>
              <w:t>(4-3)</w:t>
            </w:r>
          </w:p>
        </w:tc>
      </w:tr>
    </w:tbl>
    <w:p w14:paraId="63E8790A" w14:textId="77777777" w:rsidR="00DC087A" w:rsidRDefault="00000000">
      <w:pPr>
        <w:spacing w:line="360" w:lineRule="auto"/>
        <w:rPr>
          <w:rFonts w:hint="eastAsia"/>
        </w:rPr>
        <w:widowControl w:val="1"/>
      </w:pPr>
      <w:r>
        <w:rPr>
          <w:rFonts w:ascii="Times New Roman" w:hAnsi="Times New Roman" w:cs="Times New Roman"/>
        </w:rPr>
        <w:t xml:space="preserve">直接、总效应分别在同一 modality×Outcome 内按绝对值排名；RankShift=Direct rank−Total rank，正值表示总效应排名上升。间接效应定义为：</w:t>
      </w:r>
    </w:p>
    <w:tbl>
      <w:tblPr>
        <w:tblW w:w="5000" w:type="pct"/>
        <w:tblCellMar>
          <w:left w:w="10" w:type="dxa"/>
          <w:right w:w="10" w:type="dxa"/>
        </w:tblCellMar>
        <w:tblLook w:val="04A0" w:firstRow="1" w:lastRow="0" w:firstColumn="1" w:lastColumn="0" w:noHBand="0" w:noVBand="1"/>
      </w:tblPr>
      <w:tblGrid>
        <w:gridCol w:w="830"/>
        <w:gridCol w:w="6645"/>
        <w:gridCol w:w="831"/>
      </w:tblGrid>
      <w:tr w:rsidR="00DC087A" w14:paraId="082E2501" w14:textId="77777777">
        <w:tc>
          <w:tcPr>
            <w:tcW w:w="500" w:type="pct"/>
            <w:tcBorders>
              <w:top w:val="nil"/>
              <w:left w:val="nil"/>
              <w:bottom w:val="nil"/>
              <w:right w:val="nil"/>
            </w:tcBorders>
          </w:tcPr>
          <w:p w14:paraId="37D2E7C5" w14:textId="77777777" w:rsidR="00DC087A" w:rsidRDefault="00DC087A">
            <w:pPr>
              <w:rPr>
                <w:rFonts w:hint="eastAsia"/>
              </w:rPr>
            </w:pPr>
          </w:p>
        </w:tc>
        <w:tc>
          <w:tcPr>
            <w:tcW w:w="4000" w:type="pct"/>
            <w:tcBorders>
              <w:top w:val="nil"/>
              <w:left w:val="nil"/>
              <w:bottom w:val="nil"/>
              <w:right w:val="nil"/>
            </w:tcBorders>
            <w:vAlign w:val="center"/>
          </w:tcPr>
          <w:p w14:paraId="126F0620" w14:textId="404D82C1" w:rsidR="00DC087A" w:rsidRDefault="00000000">
            <w:pPr>
              <w:spacing w:before="40" w:after="40"/>
              <w:jc w:val="center"/>
              <w:rPr>
                <w:rFonts w:hint="eastAsia"/>
              </w:rPr>
            </w:pPr>
            <m:oMathPara>
              <m:oMath>
                <m:sSub>
                  <m:e>
                    <m:r>
                      <m:rPr>
                        <m:sty m:val="p"/>
                      </m:rPr>
                      <w:rPr>
                        <w:rFonts w:ascii="Cambria Math"/>
                        <w:sz w:val="24"/>
                      </w:rPr>
                      <m:t xml:space="preserve">e</m:t>
                    </m:r>
                  </m:e>
                  <m:sub>
                    <m:r>
                      <m:rPr>
                        <m:sty m:val="p"/>
                      </m:rPr>
                      <w:rPr>
                        <w:rFonts w:ascii="Cambria Math"/>
                        <w:sz w:val="24"/>
                      </w:rPr>
                      <m:t xml:space="preserve">indirect</m:t>
                    </m:r>
                  </m:sub>
                </m:sSub>
                <m:r>
                  <m:rPr>
                    <m:sty m:val="p"/>
                  </m:rPr>
                  <w:rPr>
                    <w:rFonts w:ascii="Cambria Math"/>
                    <w:sz w:val="24"/>
                  </w:rPr>
                  <m:t xml:space="preserve"> = </m:t>
                </m:r>
                <m:sSub>
                  <m:e>
                    <m:r>
                      <m:rPr>
                        <m:sty m:val="p"/>
                      </m:rPr>
                      <w:rPr>
                        <w:rFonts w:ascii="Cambria Math"/>
                        <w:sz w:val="24"/>
                      </w:rPr>
                      <m:t xml:space="preserve">e</m:t>
                    </m:r>
                  </m:e>
                  <m:sub>
                    <m:r>
                      <m:rPr>
                        <m:sty m:val="p"/>
                      </m:rPr>
                      <w:rPr>
                        <w:rFonts w:ascii="Cambria Math"/>
                        <w:sz w:val="24"/>
                      </w:rPr>
                      <m:t xml:space="preserve">total</m:t>
                    </m:r>
                  </m:sub>
                </m:sSub>
                <m:r>
                  <m:rPr>
                    <m:sty m:val="p"/>
                  </m:rPr>
                  <w:rPr>
                    <w:rFonts w:ascii="Cambria Math"/>
                    <w:sz w:val="24"/>
                  </w:rPr>
                  <m:t xml:space="preserve"> − </m:t>
                </m:r>
                <m:sSub>
                  <m:e>
                    <m:r>
                      <m:rPr>
                        <m:sty m:val="p"/>
                      </m:rPr>
                      <w:rPr>
                        <w:rFonts w:ascii="Cambria Math"/>
                        <w:sz w:val="24"/>
                      </w:rPr>
                      <m:t xml:space="preserve">e</m:t>
                    </m:r>
                  </m:e>
                  <m:sub>
                    <m:r>
                      <m:rPr>
                        <m:sty m:val="p"/>
                      </m:rPr>
                      <w:rPr>
                        <w:rFonts w:ascii="Cambria Math"/>
                        <w:sz w:val="24"/>
                      </w:rPr>
                      <m:t xml:space="preserve">direct</m:t>
                    </m:r>
                  </m:sub>
                </m:sSub>
              </m:oMath>
            </m:oMathPara>
          </w:p>
        </w:tc>
        <w:tc>
          <w:tcPr>
            <w:tcW w:w="500" w:type="pct"/>
            <w:tcBorders>
              <w:top w:val="nil"/>
              <w:left w:val="nil"/>
              <w:bottom w:val="nil"/>
              <w:right w:val="nil"/>
            </w:tcBorders>
            <w:vAlign w:val="center"/>
          </w:tcPr>
          <w:p w14:paraId="24106AB3" w14:textId="77777777" w:rsidR="00DC087A" w:rsidRDefault="00000000">
            <w:pPr>
              <w:spacing w:before="40" w:after="40"/>
              <w:jc w:val="right"/>
              <w:rPr>
                <w:rFonts w:hint="eastAsia"/>
              </w:rPr>
            </w:pPr>
            <w:r>
              <w:rPr>
                <w:rFonts w:ascii="Times New Roman" w:hAnsi="Times New Roman" w:cs="Times New Roman"/>
                <w:sz w:val="20"/>
                <w:szCs w:val="20"/>
              </w:rPr>
              <w:t>(4-4)</w:t>
            </w:r>
          </w:p>
        </w:tc>
      </w:tr>
    </w:tbl>
    <w:p w14:paraId="4419D7F8" w14:textId="77777777" w:rsidR="00DC087A" w:rsidRDefault="00000000">
      <w:pPr>
        <w:spacing w:line="360" w:lineRule="auto"/>
        <w:ind w:firstLine="480"/>
        <w:rPr>
          <w:rFonts w:hint="eastAsia"/>
        </w:rPr>
        <w:widowControl w:val="1"/>
      </w:pPr>
      <w:r>
        <w:rPr>
          <w:rFonts w:ascii="Times New Roman" w:hAnsi="Times New Roman" w:cs="Times New Roman"/>
        </w:rPr>
        <w:t xml:space="preserve">正式结果位于 artifacts/analysis/total_effect_propagation/，含 53,958 条 Primary 边、四模型比较与逐 Outcome Top100。以 Top100 为阈值区分直接和总效应均高、间接放大、衰减与均不高；方向翻转另按 Direct×Total&lt;0 标记。当前分别有 3265、135、135、50423 条边及 513 条翻转边，翻转可与前四类重叠；这些是边数，不是候选分子数。</w:t>
      </w:r>
    </w:p>
    <w:p w14:paraId="19A1E2C9" w14:textId="77777777" w:rsidR="00DC087A" w:rsidRDefault="00000000">
      <w:pPr>
        <w:pStyle w:val="2"/>
        <w:rPr>
          <w:rFonts w:hint="eastAsia"/>
        </w:rPr>
        <w:keepNext w:val="1"/>
      </w:pPr>
      <w:r>
        <w:t>4.4 虚拟扰动与患者级反事实响应</w:t>
      </w:r>
    </w:p>
    <w:p w14:paraId="5CEC0205" w14:textId="77777777" w:rsidR="00DC087A" w:rsidRDefault="00000000">
      <w:pPr>
        <w:spacing w:line="360" w:lineRule="auto"/>
        <w:ind w:firstLine="480"/>
        <w:rPr>
          <w:rFonts w:hint="eastAsia"/>
        </w:rPr>
        <w:widowControl w:val="1"/>
      </w:pPr>
      <w:r>
        <w:rPr>
          <w:rFonts w:ascii="Times New Roman" w:hAnsi="Times New Roman" w:cs="Times New Roman"/>
        </w:rPr>
        <w:t xml:space="preserve">虚拟扰动实验以单个候选分子为操作对象，研究其在固定模型内引起的 17 个 Outcome 预测响应，分别评价方向、幅度、剂量依赖性和患者异质性。实验单元为“模型×分子×患者×剂量”，蛋白与代谢物分开分析。主分析采用 ±0.5 SD，±1 SD 用于幅度敏感性分析，0 SD 为配对基线。预先固定四模型角色、候选规则、评估队列、统计方法与验收标准，按以下六步实施。</w:t>
      </w:r>
    </w:p>
    <w:p w14:paraId="3C293F31" w14:textId="77777777" w:rsidR="00DC087A" w:rsidRDefault="00000000">
      <w:pPr>
        <w:spacing w:line="360" w:lineRule="auto"/>
        <w:rPr>
          <w:rFonts w:hint="eastAsia"/>
        </w:rPr>
        <w:widowControl w:val="1"/>
      </w:pPr>
      <w:r>
        <w:rPr>
          <w:rFonts w:ascii="Times New Roman" w:hAnsi="Times New Roman" w:cs="Times New Roman"/>
        </w:rPr>
        <w:t xml:space="preserve">1. 固定候选、对照与实验注册。</w:t>
        <w:br/>
        <w:t xml:space="preserve">每模态选择 10 个候选，按 Primary Total Top20 跨 Outcome 次数降序、Top50 次数降序、全部 Outcome 平均总排名升序、高排名边四模型 Top20 支持均值降序、平均 Total 同号比例降序、原始编码升序依次排序。高排名边采用 Primary Top20；无 Top20 边时取最佳排名边，不增加加权总分。保留每个候选的全部 17 个结局证据，避免只报告响应最强的结局。</w:t>
        <w:br/>
        <w:t xml:space="preserve">每模态另设 3 个低结构效应对照。排除候选后，按跨 Outcome 最优排名百分位降序、平均百分位降序、编码升序形成候选池；池大小为 max(3, ceil(剩余特征数×0.2))。使用 seed=42 及各模态独立随机流无放回抽样。对照仅代表相对低结构效应，不预设为生物学阴性。</w:t>
        <w:br/>
        <w:t xml:space="preserve">登记候选与证据、队列、剂量四份清单以及配置和预检报告；记录代码、数据、权重、配置及清单 SHA256。仅在 schema、真实划分与哈希校验通过时发布可执行计划，执行端按计划读取，不重新筛选或修改剂量。</w:t>
      </w:r>
    </w:p>
    <w:p w14:paraId="4142055F" w14:textId="77777777" w:rsidR="00DC087A" w:rsidRDefault="00000000">
      <w:pPr>
        <w:spacing w:line="360" w:lineRule="auto"/>
        <w:rPr>
          <w:rFonts w:hint="eastAsia"/>
        </w:rPr>
        <w:widowControl w:val="1"/>
      </w:pPr>
      <w:r>
        <w:rPr>
          <w:rFonts w:ascii="Times New Roman" w:hAnsi="Times New Roman" w:cs="Times New Roman"/>
        </w:rPr>
        <w:t xml:space="preserve">2. 定义评估队列与配对基线。</w:t>
        <w:br/>
        <w:t xml:space="preserve">按唯一整数 eid 连接 anchors、phenotype 与两组学，核验六组训练/验证 EID、模态可用阈值及候选观测状态。主要评估队列为 paired validation、双模态可用且候选已观测的交集；“严格未训练”另定义为未进入蛋白、代谢物或联合任一训练集合。主要队列与其严格未训练子集分别报告；仅以满足独立性要求的受试者支持泛化结论。</w:t>
        <w:br/>
        <w:t xml:space="preserve">正式验证实验登记增强记录到原始受试者的真实映射，按原始受试者分组划分，副本随原样本进入同一集合，来源不明记录不进入正式评估；预处理仅在训练集合拟合。既有模型推断沿用其原训练尺度，不在评估队列重估均值或标准差。单模态验证队列单列，使用单独验证过的执行路径，不与双模态结果合并。</w:t>
        <w:br/>
        <w:t xml:space="preserve">在独立先导资料或训练资料中估计方差，结合预设最小有意义预测变化、主检验数量和 80% 把握度确定目标独立受试者数 N*。若有效独立样本不足 N*，仅报告探索性估计，不以增强记录补足独立人数。</w:t>
      </w:r>
    </w:p>
    <w:p w14:paraId="4516D8A9" w14:textId="77777777" w:rsidR="00DC087A" w:rsidRDefault="00000000">
      <w:pPr>
        <w:spacing w:line="360" w:lineRule="auto"/>
        <w:rPr>
          <w:rFonts w:hint="eastAsia"/>
        </w:rPr>
        <w:widowControl w:val="1"/>
      </w:pPr>
      <w:r>
        <w:rPr>
          <w:rFonts w:ascii="Times New Roman" w:hAnsi="Times New Roman" w:cs="Times New Roman"/>
        </w:rPr>
        <w:t xml:space="preserve">3. 构造剂量与支持范围。</w:t>
        <w:br/>
        <w:t xml:space="preserve">对每个候选设置 −1、−0.5、0、0.5、1 SD 五档位移，在现有标准化输入上令目标值等于基线值加 dose_sd，不重复标准化。每次仅改变一个已观测候选，其余特征、锚定变量、模态可用标记和缺失掩码保持固定，不填补缺失候选。</w:t>
        <w:br/>
        <w:t xml:space="preserve">支持上下界取该模型相应模态预训练与 paired training 的观测 EID 并集之 1%/99% 分位数。没有训练支持或非零剂量越界的行标记为不可执行，保留具体原因，不截断到边界。0 SD 保留为配对基线；基线越界时另行标记。</w:t>
        <w:br/>
        <w:t xml:space="preserve">逐剂量报告可用人数，覆盖率以登记的 paired validation 独立受试者数为分母，缺失、无支持及越界均计为损耗。剂量响应主比较使用同一分子各待比较剂量均可执行的共同患者集合，另给出各剂量完整可用集合结果，区分队列组成变化与模型响应变化；候选与对照的差异在可比队列和覆盖条件下解释。</w:t>
      </w:r>
    </w:p>
    <w:p w14:paraId="3B05CEB5" w14:textId="77777777" w:rsidR="00DC087A" w:rsidRDefault="00000000">
      <w:pPr>
        <w:spacing w:line="360" w:lineRule="auto"/>
        <w:rPr>
          <w:rFonts w:hint="eastAsia"/>
        </w:rPr>
        <w:widowControl w:val="1"/>
      </w:pPr>
      <w:r>
        <w:rPr>
          <w:rFonts w:ascii="Times New Roman" w:hAnsi="Times New Roman" w:cs="Times New Roman"/>
        </w:rPr>
        <w:t xml:space="preserve">4. 冻结模型并执行配对推断。</w:t>
        <w:br/>
        <w:t xml:space="preserve">严格核验 checkpoint 的键、形状、特征顺序、预处理及结局外生模式后冻结全部参数，使用 model.eval()、无梯度计算、记录的 best_tau 和确定性 gate；检查推断邻接矩阵与登记的 A 一致。主分析使用共享、私有潜变量的后验均值替代重参数采样，真实 Y 不进入生成路径。</w:t>
        <w:br/>
        <w:t xml:space="preserve">zero 模式令结局外生项为零；gaussian 模式使用 50 组固定、成对共享的外生噪声，并以预测均值为主结果，基线与同患者全部剂量使用相同随机数。另进行 50 次共享/私有潜变量的受控成对采样作为 Monte Carlo 敏感性分析，结局项依原模式置零或采样；保存种子和抽样编号，分别报告患者差异与采样差异。</w:t>
        <w:br/>
        <w:t xml:space="preserve">每位患者先执行基线，再仅替换候选输入并重新经过 Encoder、SCM、OutcomeDecoder。批量执行前检查重复基线与 0 SD 响应，绝对误差须不超过 10⁻⁶；若不满足，先排查随机性、批次与精度，不将该差值计为扰动响应。推断期间不训练或更新权重。</w:t>
      </w:r>
    </w:p>
    <w:p w14:paraId="26A2F207" w14:textId="77777777" w:rsidR="00DC087A" w:rsidRDefault="00000000">
      <w:pPr>
        <w:spacing w:line="360" w:lineRule="auto"/>
        <w:rPr>
          <w:rFonts w:hint="eastAsia"/>
        </w:rPr>
        <w:widowControl w:val="1"/>
      </w:pPr>
      <w:r>
        <w:rPr>
          <w:rFonts w:ascii="Times New Roman" w:hAnsi="Times New Roman" w:cs="Times New Roman"/>
        </w:rPr>
        <w:t xml:space="preserve">5. 计算并保存个体响应。</w:t>
        <w:br/>
        <w:t xml:space="preserve">仅执行 executable=true 的行，按同模型、modality、feature、eid 的 0 SD 基线配对；随机分析再加抽样编号配对。对 14 个连续结局计算标准化预测差，乘原训练标准差还原到原量纲；对 3 个二分类结局保存基线与扰动后的 logit、概率，以 sigmoid 后的概率差为主要响应，logit 差为补充。</w:t>
        <w:br/>
        <w:t xml:space="preserve">保存逐患者、逐剂量、逐 Outcome 的基线值、目标值、两次预测、响应差、训练归属、支持状态及执行原因；无效值保留缺失及原因，不置零。零响应容差按标准化连续尺度和概率尺度均预设为 10⁻⁶，原量纲容差按训练标准差换算。</w:t>
        <w:br/>
        <w:t xml:space="preserve">以分子编码和 eid 为关联键，输出患者级长表、逐剂量汇总、覆盖与排除表、随机性核验表及运行配置。独立病例数、增强记录数与 Monte Carlo 次数分别记录，避免将重复计算当作新增受试者。</w:t>
      </w:r>
    </w:p>
    <w:p w14:paraId="1F4C9B1E" w14:textId="77777777" w:rsidR="00DC087A" w:rsidRDefault="00000000">
      <w:pPr>
        <w:spacing w:line="360" w:lineRule="auto"/>
        <w:rPr>
          <w:rFonts w:hint="eastAsia"/>
        </w:rPr>
        <w:widowControl w:val="1"/>
      </w:pPr>
      <w:r>
        <w:rPr>
          <w:rFonts w:ascii="Times New Roman" w:hAnsi="Times New Roman" w:cs="Times New Roman"/>
        </w:rPr>
        <w:t xml:space="preserve">6. 统计评价、稳健性验证与实验验收。</w:t>
        <w:br/>
        <w:t xml:space="preserve">在每个模型×分子×Outcome×剂量内报告有效配对数、覆盖率、均值、中位数、标准差、四分位距、正/负/近零比例与 95% 区间。以原始受试者为抽样单元开展 2000 次 Bootstrap，随机种子为 42；同一受试者的副本和所有剂量一并抽取。</w:t>
        <w:br/>
        <w:t xml:space="preserve">主剂量为 ±0.5 SD。若独立性及差值符号可交换假设合理，进行 100000 次受试者级符号置换检验；对 Primary 模型 20 个候选×17 个 Outcome×2 个主剂量的 680 项检验作为同一家族执行 BH 校正，报告有效检验数及 q 值，缺失项不按显著处理。其他模型仅作复现比较；假设不成立或样本不足时只作描述性解释，对照及 ±1 SD 分析单列。</w:t>
        <w:br/>
        <w:t xml:space="preserve">在共同患者集合比较四模型的响应方向、效应秩和剂量曲线，不平均权重或把不同划分当作独立队列。用 Δŷ(d)/d 的符号比较正、负剂量的局部响应方向，检查单调性、非对称性、方向翻转与异常放大；比较低结构效应对照分布及确定性/采样推断的差异。</w:t>
        <w:br/>
        <w:t xml:space="preserve">按预先指定的临床分层、候选分位组和缺失程度展示患者异质性，并比较严格未训练与其余验证受试者。绘制逐 Outcome 剂量曲线、响应分布、跨模型一致性和覆盖率图。通过零剂量、重复性、有限值与完整配对校验后，连同排除原因、统计配置和哈希一起归档。</w:t>
      </w:r>
    </w:p>
    <w:tbl>
      <w:tblPr>
        <w:tblW w:w="5000" w:type="pct"/>
        <w:tblCellMar>
          <w:left w:w="10" w:type="dxa"/>
          <w:right w:w="10" w:type="dxa"/>
        </w:tblCellMar>
        <w:tblLook w:val="04A0" w:firstRow="1" w:lastRow="0" w:firstColumn="1" w:lastColumn="0" w:noHBand="0" w:noVBand="1"/>
      </w:tblPr>
      <w:tblGrid>
        <w:gridCol w:w="830"/>
        <w:gridCol w:w="6645"/>
        <w:gridCol w:w="831"/>
      </w:tblGrid>
      <w:tr w:rsidR="00DC087A" w14:paraId="3C724C6E" w14:textId="77777777">
        <w:tc>
          <w:tcPr>
            <w:tcW w:w="500" w:type="pct"/>
            <w:tcBorders>
              <w:top w:val="nil"/>
              <w:left w:val="nil"/>
              <w:bottom w:val="nil"/>
              <w:right w:val="nil"/>
            </w:tcBorders>
          </w:tcPr>
          <w:p w14:paraId="62C12307" w14:textId="77777777" w:rsidR="00DC087A" w:rsidRDefault="00DC087A">
            <w:pPr>
              <w:rPr>
                <w:rFonts w:hint="eastAsia"/>
              </w:rPr>
            </w:pPr>
          </w:p>
        </w:tc>
        <w:tc>
          <w:tcPr>
            <w:tcW w:w="4000" w:type="pct"/>
            <w:tcBorders>
              <w:top w:val="nil"/>
              <w:left w:val="nil"/>
              <w:bottom w:val="nil"/>
              <w:right w:val="nil"/>
            </w:tcBorders>
            <w:vAlign w:val="center"/>
          </w:tcPr>
          <w:p w14:paraId="72401B06" w14:textId="0A7248E2" w:rsidR="00DC087A" w:rsidRDefault="00000000">
            <w:pPr>
              <w:spacing w:before="40" w:after="40"/>
              <w:jc w:val="center"/>
              <w:rPr>
                <w:rFonts w:hint="eastAsia"/>
              </w:rPr>
            </w:pPr>
            <m:oMathPara>
              <m:oMath>
                <m:sSub>
                  <m:e>
                    <m:r>
                      <m:rPr>
                        <m:sty m:val="p"/>
                      </m:rPr>
                      <w:rPr>
                        <w:rFonts w:ascii="Cambria Math"/>
                        <w:sz w:val="24"/>
                      </w:rPr>
                      <m:t xml:space="preserve">Δŷ</m:t>
                    </m:r>
                  </m:e>
                  <m:sub>
                    <m:r>
                      <m:rPr>
                        <m:sty m:val="p"/>
                      </m:rPr>
                      <w:rPr>
                        <w:rFonts w:ascii="Cambria Math"/>
                        <w:sz w:val="24"/>
                      </w:rPr>
                      <m:t xml:space="preserve">i,j</m:t>
                    </m:r>
                  </m:sub>
                </m:sSub>
                <m:r>
                  <m:rPr>
                    <m:sty m:val="p"/>
                  </m:rPr>
                  <w:rPr>
                    <w:rFonts w:ascii="Cambria Math"/>
                    <w:sz w:val="24"/>
                  </w:rPr>
                  <m:t xml:space="preserve">(d) = </m:t>
                </m:r>
                <m:sSub>
                  <m:e>
                    <m:r>
                      <m:rPr>
                        <m:sty m:val="p"/>
                      </m:rPr>
                      <w:rPr>
                        <w:rFonts w:ascii="Cambria Math"/>
                        <w:sz w:val="24"/>
                      </w:rPr>
                      <m:t xml:space="preserve">ŷ</m:t>
                    </m:r>
                  </m:e>
                  <m:sub>
                    <m:r>
                      <m:rPr>
                        <m:sty m:val="p"/>
                      </m:rPr>
                      <w:rPr>
                        <w:rFonts w:ascii="Cambria Math"/>
                        <w:sz w:val="24"/>
                      </w:rPr>
                      <m:t xml:space="preserve">i</m:t>
                    </m:r>
                  </m:sub>
                </m:sSub>
                <m:r>
                  <m:rPr>
                    <m:sty m:val="p"/>
                  </m:rPr>
                  <w:rPr>
                    <w:rFonts w:ascii="Cambria Math"/>
                    <w:sz w:val="24"/>
                  </w:rPr>
                  <m:t xml:space="preserve">(xᵢ + d eⱼ) − </m:t>
                </m:r>
                <m:sSub>
                  <m:e>
                    <m:r>
                      <m:rPr>
                        <m:sty m:val="p"/>
                      </m:rPr>
                      <w:rPr>
                        <w:rFonts w:ascii="Cambria Math"/>
                        <w:sz w:val="24"/>
                      </w:rPr>
                      <m:t xml:space="preserve">ŷ</m:t>
                    </m:r>
                  </m:e>
                  <m:sub>
                    <m:r>
                      <m:rPr>
                        <m:sty m:val="p"/>
                      </m:rPr>
                      <w:rPr>
                        <w:rFonts w:ascii="Cambria Math"/>
                        <w:sz w:val="24"/>
                      </w:rPr>
                      <m:t xml:space="preserve">i</m:t>
                    </m:r>
                  </m:sub>
                </m:sSub>
                <m:r>
                  <m:rPr>
                    <m:sty m:val="p"/>
                  </m:rPr>
                  <w:rPr>
                    <w:rFonts w:ascii="Cambria Math"/>
                    <w:sz w:val="24"/>
                  </w:rPr>
                  <m:t xml:space="preserve">(xᵢ)</m:t>
                </m:r>
              </m:oMath>
            </m:oMathPara>
          </w:p>
        </w:tc>
        <w:tc>
          <w:tcPr>
            <w:tcW w:w="500" w:type="pct"/>
            <w:tcBorders>
              <w:top w:val="nil"/>
              <w:left w:val="nil"/>
              <w:bottom w:val="nil"/>
              <w:right w:val="nil"/>
            </w:tcBorders>
            <w:vAlign w:val="center"/>
          </w:tcPr>
          <w:p w14:paraId="6789230A" w14:textId="77777777" w:rsidR="00DC087A" w:rsidRDefault="00000000">
            <w:pPr>
              <w:spacing w:before="40" w:after="40"/>
              <w:jc w:val="right"/>
              <w:rPr>
                <w:rFonts w:hint="eastAsia"/>
              </w:rPr>
            </w:pPr>
            <w:r>
              <w:rPr>
                <w:rFonts w:ascii="Times New Roman" w:hAnsi="Times New Roman" w:cs="Times New Roman"/>
                <w:sz w:val="20"/>
                <w:szCs w:val="20"/>
              </w:rPr>
              <w:t>(4-5)</w:t>
            </w:r>
          </w:p>
        </w:tc>
      </w:tr>
    </w:tbl>
    <w:p w14:paraId="555EFE8F" w14:textId="77777777" w:rsidR="00DC087A" w:rsidRDefault="00000000">
      <w:pPr>
        <w:spacing w:line="360" w:lineRule="auto"/>
        <w:ind w:firstLine="480"/>
        <w:rPr>
          <w:rFonts w:hint="eastAsia"/>
        </w:rPr>
        <w:widowControl w:val="1"/>
      </w:pPr>
      <w:r>
        <w:rPr>
          <w:rFonts w:ascii="Times New Roman" w:hAnsi="Times New Roman" w:cs="Times New Roman"/>
        </w:rPr>
        <w:t xml:space="preserve">式中 d 为标准化输入位移，ŷ 为冻结模型预测，eⱼ 为仅改变第 j 个特征的单位向量。该实验评价模型内输入扰动敏感性，能够描述患者间差异和候选的预测响应特征；重新编码输入不等同于严格 SCM do 干预，响应均值也不解释为已识别的 ATE。对照、显著性和方向一致性仅构成模型实验的验证证据，不能代替功能实验或临床治疗证据。</w:t>
      </w:r>
    </w:p>
    <w:p w14:paraId="28BCE1CF" w14:textId="77777777" w:rsidR="00DC087A" w:rsidRDefault="00000000">
      <w:pPr>
        <w:pStyle w:val="2"/>
        <w:rPr>
          <w:rFonts w:hint="eastAsia"/>
        </w:rPr>
        <w:keepNext w:val="1"/>
      </w:pPr>
      <w:r>
        <w:t>4.5 综合排序规则</w:t>
      </w:r>
    </w:p>
    <w:p w14:paraId="47915FE1" w14:textId="77777777" w:rsidR="00DC087A" w:rsidRDefault="00000000">
      <w:pPr>
        <w:spacing w:line="360" w:lineRule="auto"/>
        <w:rPr>
          <w:rFonts w:hint="eastAsia"/>
        </w:rPr>
        <w:widowControl w:val="1"/>
      </w:pPr>
      <w:r>
        <w:rPr>
          <w:rFonts w:ascii="Times New Roman" w:hAnsi="Times New Roman" w:cs="Times New Roman"/>
        </w:rPr>
        <w:t xml:space="preserve">综合评价以候选分子→具体 Outcome 为单位，依次整合结构效应、跨模型稳定性、配对扰动响应及独立生物学证据。各维度采用可追溯的证据向量并列呈现，不以任意权重把不同尺度的量相加：</w:t>
      </w:r>
    </w:p>
    <w:tbl>
      <w:tblPr>
        <w:tblW w:w="5000" w:type="pct"/>
        <w:tblCellMar>
          <w:left w:w="10" w:type="dxa"/>
          <w:right w:w="10" w:type="dxa"/>
        </w:tblCellMar>
        <w:tblLook w:val="04A0" w:firstRow="1" w:lastRow="0" w:firstColumn="1" w:lastColumn="0" w:noHBand="0" w:noVBand="1"/>
      </w:tblPr>
      <w:tblGrid>
        <w:gridCol w:w="830"/>
        <w:gridCol w:w="6645"/>
        <w:gridCol w:w="831"/>
      </w:tblGrid>
      <w:tr w:rsidR="00DC087A" w14:paraId="311D535D" w14:textId="77777777">
        <w:tc>
          <w:tcPr>
            <w:tcW w:w="500" w:type="pct"/>
            <w:tcBorders>
              <w:top w:val="nil"/>
              <w:left w:val="nil"/>
              <w:bottom w:val="nil"/>
              <w:right w:val="nil"/>
            </w:tcBorders>
          </w:tcPr>
          <w:p w14:paraId="31834966" w14:textId="77777777" w:rsidR="00DC087A" w:rsidRDefault="00DC087A">
            <w:pPr>
              <w:rPr>
                <w:rFonts w:hint="eastAsia"/>
              </w:rPr>
            </w:pPr>
          </w:p>
        </w:tc>
        <w:tc>
          <w:tcPr>
            <w:tcW w:w="4000" w:type="pct"/>
            <w:tcBorders>
              <w:top w:val="nil"/>
              <w:left w:val="nil"/>
              <w:bottom w:val="nil"/>
              <w:right w:val="nil"/>
            </w:tcBorders>
            <w:vAlign w:val="center"/>
          </w:tcPr>
          <w:p w14:paraId="65DE06BB" w14:textId="77777777" w:rsidR="00DC087A" w:rsidRDefault="00000000">
            <w:pPr>
              <w:spacing w:before="40" w:after="40"/>
              <w:jc w:val="center"/>
              <w:rPr>
                <w:rFonts w:hint="eastAsia"/>
              </w:rPr>
            </w:pPr>
            <m:oMathPara>
              <m:oMath>
                <m:sSub>
                  <m:e>
                    <m:r>
                      <m:rPr>
                        <m:sty m:val="p"/>
                      </m:rPr>
                      <w:rPr>
                        <w:rFonts w:ascii="Cambria Math"/>
                        <w:sz w:val="24"/>
                      </w:rPr>
                      <m:t xml:space="preserve">E</m:t>
                    </m:r>
                  </m:e>
                  <m:sub>
                    <m:r>
                      <m:rPr>
                        <m:sty m:val="p"/>
                      </m:rPr>
                      <w:rPr>
                        <w:rFonts w:ascii="Cambria Math"/>
                        <w:sz w:val="24"/>
                      </w:rPr>
                      <m:t xml:space="preserve">j,k</m:t>
                    </m:r>
                  </m:sub>
                </m:sSub>
                <m:r>
                  <m:rPr>
                    <m:sty m:val="p"/>
                  </m:rPr>
                  <w:rPr>
                    <w:rFonts w:ascii="Cambria Math"/>
                    <w:sz w:val="24"/>
                  </w:rPr>
                  <m:t xml:space="preserve"> = (</m:t>
                </m:r>
                <m:sSub>
                  <m:e>
                    <m:r>
                      <m:rPr>
                        <m:sty m:val="p"/>
                      </m:rPr>
                      <w:rPr>
                        <w:rFonts w:ascii="Cambria Math"/>
                        <w:sz w:val="24"/>
                      </w:rPr>
                      <m:t xml:space="preserve">d</m:t>
                    </m:r>
                  </m:e>
                  <m:sub>
                    <m:r>
                      <m:rPr>
                        <m:sty m:val="p"/>
                      </m:rPr>
                      <w:rPr>
                        <w:rFonts w:ascii="Cambria Math"/>
                        <w:sz w:val="24"/>
                      </w:rPr>
                      <m:t xml:space="preserve">j,k</m:t>
                    </m:r>
                  </m:sub>
                </m:sSub>
                <m:r>
                  <m:rPr>
                    <m:sty m:val="p"/>
                  </m:rPr>
                  <w:rPr>
                    <w:rFonts w:ascii="Cambria Math"/>
                    <w:sz w:val="24"/>
                  </w:rPr>
                  <m:t xml:space="preserve">, </m:t>
                </m:r>
                <m:sSub>
                  <m:e>
                    <m:r>
                      <m:rPr>
                        <m:sty m:val="p"/>
                      </m:rPr>
                      <w:rPr>
                        <w:rFonts w:ascii="Cambria Math"/>
                        <w:sz w:val="24"/>
                      </w:rPr>
                      <m:t xml:space="preserve">t</m:t>
                    </m:r>
                  </m:e>
                  <m:sub>
                    <m:r>
                      <m:rPr>
                        <m:sty m:val="p"/>
                      </m:rPr>
                      <w:rPr>
                        <w:rFonts w:ascii="Cambria Math"/>
                        <w:sz w:val="24"/>
                      </w:rPr>
                      <m:t xml:space="preserve">j,k</m:t>
                    </m:r>
                  </m:sub>
                </m:sSub>
                <m:r>
                  <m:rPr>
                    <m:sty m:val="p"/>
                  </m:rPr>
                  <w:rPr>
                    <w:rFonts w:ascii="Cambria Math"/>
                    <w:sz w:val="24"/>
                  </w:rPr>
                  <m:t xml:space="preserve">, </m:t>
                </m:r>
                <m:sSub>
                  <m:e>
                    <m:r>
                      <m:rPr>
                        <m:sty m:val="p"/>
                      </m:rPr>
                      <w:rPr>
                        <w:rFonts w:ascii="Cambria Math"/>
                        <w:sz w:val="24"/>
                      </w:rPr>
                      <m:t xml:space="preserve">s</m:t>
                    </m:r>
                  </m:e>
                  <m:sub>
                    <m:r>
                      <m:rPr>
                        <m:sty m:val="p"/>
                      </m:rPr>
                      <w:rPr>
                        <w:rFonts w:ascii="Cambria Math"/>
                        <w:sz w:val="24"/>
                      </w:rPr>
                      <m:t xml:space="preserve">j,k</m:t>
                    </m:r>
                  </m:sub>
                </m:sSub>
                <m:r>
                  <m:rPr>
                    <m:sty m:val="p"/>
                  </m:rPr>
                  <w:rPr>
                    <w:rFonts w:ascii="Cambria Math"/>
                    <w:sz w:val="24"/>
                  </w:rPr>
                  <m:t xml:space="preserve">, </m:t>
                </m:r>
                <m:sSub>
                  <m:e>
                    <m:r>
                      <m:rPr>
                        <m:sty m:val="p"/>
                      </m:rPr>
                      <w:rPr>
                        <w:rFonts w:ascii="Cambria Math"/>
                        <w:sz w:val="24"/>
                      </w:rPr>
                      <m:t xml:space="preserve">v</m:t>
                    </m:r>
                  </m:e>
                  <m:sub>
                    <m:r>
                      <m:rPr>
                        <m:sty m:val="p"/>
                      </m:rPr>
                      <w:rPr>
                        <w:rFonts w:ascii="Cambria Math"/>
                        <w:sz w:val="24"/>
                      </w:rPr>
                      <m:t xml:space="preserve">j,k</m:t>
                    </m:r>
                  </m:sub>
                </m:sSub>
                <m:r>
                  <m:rPr>
                    <m:sty m:val="p"/>
                  </m:rPr>
                  <w:rPr>
                    <w:rFonts w:ascii="Cambria Math"/>
                    <w:sz w:val="24"/>
                  </w:rPr>
                  <m:t xml:space="preserve">, </m:t>
                </m:r>
                <m:sSub>
                  <m:e>
                    <m:r>
                      <m:rPr>
                        <m:sty m:val="p"/>
                      </m:rPr>
                      <w:rPr>
                        <w:rFonts w:ascii="Cambria Math"/>
                        <w:sz w:val="24"/>
                      </w:rPr>
                      <m:t xml:space="preserve">b</m:t>
                    </m:r>
                  </m:e>
                  <m:sub>
                    <m:r>
                      <m:rPr>
                        <m:sty m:val="p"/>
                      </m:rPr>
                      <w:rPr>
                        <w:rFonts w:ascii="Cambria Math"/>
                        <w:sz w:val="24"/>
                      </w:rPr>
                      <m:t xml:space="preserve">j</m:t>
                    </m:r>
                  </m:sub>
                </m:sSub>
                <m:r>
                  <m:rPr>
                    <m:sty m:val="p"/>
                  </m:rPr>
                  <w:rPr>
                    <w:rFonts w:ascii="Cambria Math"/>
                    <w:sz w:val="24"/>
                  </w:rPr>
                  <m:t xml:space="preserve">)</m:t>
                </m:r>
              </m:oMath>
            </m:oMathPara>
          </w:p>
        </w:tc>
        <w:tc>
          <w:tcPr>
            <w:tcW w:w="500" w:type="pct"/>
            <w:tcBorders>
              <w:top w:val="nil"/>
              <w:left w:val="nil"/>
              <w:bottom w:val="nil"/>
              <w:right w:val="nil"/>
            </w:tcBorders>
            <w:vAlign w:val="center"/>
          </w:tcPr>
          <w:p w14:paraId="41922F9A" w14:textId="77777777" w:rsidR="00DC087A" w:rsidRDefault="00000000">
            <w:pPr>
              <w:spacing w:before="40" w:after="40"/>
              <w:jc w:val="right"/>
              <w:rPr>
                <w:rFonts w:hint="eastAsia"/>
              </w:rPr>
            </w:pPr>
            <w:r>
              <w:rPr>
                <w:rFonts w:ascii="Times New Roman" w:hAnsi="Times New Roman" w:cs="Times New Roman"/>
                <w:sz w:val="20"/>
                <w:szCs w:val="20"/>
              </w:rPr>
              <w:t>(4-6)</w:t>
            </w:r>
          </w:p>
        </w:tc>
      </w:tr>
    </w:tbl>
    <w:p w14:paraId="551A62AE" w14:textId="77777777" w:rsidR="00DC087A" w:rsidRDefault="00000000">
      <w:pPr>
        <w:spacing w:line="360" w:lineRule="auto"/>
        <w:rPr>
          <w:rFonts w:hint="eastAsia"/>
        </w:rPr>
        <w:widowControl w:val="1"/>
      </w:pPr>
      <w:r>
        <w:rPr>
          <w:rFonts w:ascii="Times New Roman" w:hAnsi="Times New Roman" w:cs="Times New Roman"/>
        </w:rPr>
        <w:t xml:space="preserve">E 的五个分量及其评价指标如下；每项记录数据来源、统计尺度与不确定性，缺失证据标记为缺失，不按零分替代：</w:t>
      </w:r>
    </w:p>
    <w:tbl>
      <w:tblPr>
        <w:tblW w:w="5000" w:type="pct"/>
        <w:tblLayout w:type="fixed"/>
        <w:tblCellMar>
          <w:left w:w="10" w:type="dxa"/>
          <w:right w:w="10" w:type="dxa"/>
        </w:tblCellMar>
        <w:tblLook w:val="04A0" w:firstRow="1" w:lastRow="0" w:firstColumn="1" w:lastColumn="0" w:noHBand="0" w:noVBand="1"/>
      </w:tblPr>
      <w:tblGrid>
        <w:gridCol w:w="2658"/>
        <w:gridCol w:w="5648"/>
      </w:tblGrid>
      <w:tr w:rsidR="00DC087A" w14:paraId="19C5366B" w14:textId="77777777">
        <w:trPr>
          <w:tblHeader/>
          <w:cantSplit/>
        </w:trPr>
        <w:tc>
          <w:tcPr>
            <w:tcW w:w="1600" w:type="pct"/>
            <w:tcBorders>
              <w:top w:val="single" w:sz="2" w:space="0" w:color="000000"/>
              <w:left w:val="nil"/>
              <w:bottom w:val="single" w:sz="0" w:space="0" w:color="000000"/>
              <w:right w:val="nil"/>
            </w:tcBorders>
            <w:shd w:val="clear" w:color="auto" w:fill="D9E2F3"/>
            <w:vAlign w:val="center"/>
          </w:tcPr>
          <w:p w14:paraId="3AB2537B" w14:textId="77777777" w:rsidR="00DC087A" w:rsidRDefault="00000000">
            <w:pPr>
              <w:spacing w:before="40" w:after="40" w:line="276" w:lineRule="auto"/>
              <w:jc w:val="center"/>
              <w:rPr>
                <w:rFonts w:hint="eastAsia"/>
              </w:rPr>
            </w:pPr>
            <w:r>
              <w:rPr>
                <w:rFonts w:ascii="Times New Roman" w:hAnsi="Times New Roman" w:cs="Times New Roman"/>
                <w:b/>
                <w:bCs/>
              </w:rPr>
              <w:t xml:space="preserve">证据维度</w:t>
            </w:r>
          </w:p>
        </w:tc>
        <w:tc>
          <w:tcPr>
            <w:tcW w:w="3400" w:type="pct"/>
            <w:tcBorders>
              <w:top w:val="single" w:sz="2" w:space="0" w:color="000000"/>
              <w:left w:val="nil"/>
              <w:bottom w:val="single" w:sz="0" w:space="0" w:color="000000"/>
              <w:right w:val="nil"/>
            </w:tcBorders>
            <w:shd w:val="clear" w:color="auto" w:fill="D9E2F3"/>
            <w:vAlign w:val="center"/>
          </w:tcPr>
          <w:p w14:paraId="0DAB2753" w14:textId="77777777" w:rsidR="00DC087A" w:rsidRDefault="00000000">
            <w:pPr>
              <w:spacing w:before="40" w:after="40" w:line="276" w:lineRule="auto"/>
              <w:jc w:val="center"/>
              <w:rPr>
                <w:rFonts w:hint="eastAsia"/>
              </w:rPr>
            </w:pPr>
            <w:r>
              <w:rPr>
                <w:rFonts w:ascii="Times New Roman" w:hAnsi="Times New Roman" w:cs="Times New Roman"/>
                <w:b/>
                <w:bCs/>
              </w:rPr>
              <w:t>含义说明</w:t>
            </w:r>
          </w:p>
        </w:tc>
      </w:tr>
      <w:tr w:rsidR="00DC087A" w14:paraId="4B0AE3AD" w14:textId="77777777">
        <w:trPr>
          <w:trHeight w:val="567"/>
          <w:cantSplit/>
        </w:trPr>
        <w:tc>
          <w:tcPr>
            <w:tcW w:w="1600" w:type="pct"/>
            <w:tcBorders>
              <w:top w:val="nil"/>
              <w:left w:val="nil"/>
              <w:bottom w:val="nil"/>
              <w:right w:val="nil"/>
            </w:tcBorders>
            <w:vAlign w:val="center"/>
          </w:tcPr>
          <w:p w14:paraId="05DD936C" w14:textId="77777777" w:rsidR="00DC087A" w:rsidRDefault="00000000">
            <w:pPr>
              <w:spacing w:before="40" w:after="40" w:line="276" w:lineRule="auto"/>
              <w:jc w:val="center"/>
              <w:rPr>
                <w:rFonts w:hint="eastAsia"/>
              </w:rPr>
            </w:pPr>
            <w:r>
              <w:rPr>
                <w:rFonts w:ascii="Times New Roman" w:hAnsi="Times New Roman" w:cs="Times New Roman"/>
              </w:rPr>
              <w:t xml:space="preserve">Direct evidence</w:t>
            </w:r>
          </w:p>
        </w:tc>
        <w:tc>
          <w:tcPr>
            <w:tcW w:w="3400" w:type="pct"/>
            <w:tcBorders>
              <w:top w:val="nil"/>
              <w:left w:val="nil"/>
              <w:bottom w:val="nil"/>
              <w:right w:val="nil"/>
            </w:tcBorders>
            <w:vAlign w:val="center"/>
          </w:tcPr>
          <w:p w14:paraId="03774B4F" w14:textId="77777777" w:rsidR="00DC087A" w:rsidRDefault="00000000">
            <w:pPr>
              <w:spacing w:before="40" w:after="40" w:line="276" w:lineRule="auto"/>
              <w:jc w:val="left"/>
              <w:rPr>
                <w:rFonts w:hint="eastAsia"/>
              </w:rPr>
            </w:pPr>
            <w:r>
              <w:rPr>
                <w:rFonts w:ascii="Times New Roman" w:hAnsi="Times New Roman" w:cs="Times New Roman"/>
              </w:rPr>
              <w:t xml:space="preserve">d：直接结构效应、符号、Outcome 内排名及测量尺度</w:t>
            </w:r>
          </w:p>
        </w:tc>
      </w:tr>
      <w:tr w:rsidR="00DC087A" w14:paraId="7F4E4C3C" w14:textId="77777777">
        <w:trPr>
          <w:trHeight w:val="567"/>
          <w:cantSplit/>
        </w:trPr>
        <w:tc>
          <w:tcPr>
            <w:tcW w:w="1600" w:type="pct"/>
            <w:tcBorders>
              <w:top w:val="nil"/>
              <w:left w:val="nil"/>
              <w:bottom w:val="nil"/>
              <w:right w:val="nil"/>
            </w:tcBorders>
            <w:vAlign w:val="center"/>
          </w:tcPr>
          <w:p w14:paraId="5735C90B" w14:textId="77777777" w:rsidR="00DC087A" w:rsidRDefault="00000000">
            <w:pPr>
              <w:spacing w:before="40" w:after="40" w:line="276" w:lineRule="auto"/>
              <w:jc w:val="center"/>
              <w:rPr>
                <w:rFonts w:hint="eastAsia"/>
              </w:rPr>
            </w:pPr>
            <w:r>
              <w:rPr>
                <w:rFonts w:ascii="Times New Roman" w:hAnsi="Times New Roman" w:cs="Times New Roman"/>
              </w:rPr>
              <w:t xml:space="preserve">Total evidence</w:t>
            </w:r>
          </w:p>
        </w:tc>
        <w:tc>
          <w:tcPr>
            <w:tcW w:w="3400" w:type="pct"/>
            <w:tcBorders>
              <w:top w:val="nil"/>
              <w:left w:val="nil"/>
              <w:bottom w:val="nil"/>
              <w:right w:val="nil"/>
            </w:tcBorders>
            <w:vAlign w:val="center"/>
          </w:tcPr>
          <w:p w14:paraId="075FE00E" w14:textId="77777777" w:rsidR="00DC087A" w:rsidRDefault="00000000">
            <w:pPr>
              <w:spacing w:before="40" w:after="40" w:line="276" w:lineRule="auto"/>
              <w:jc w:val="left"/>
              <w:rPr>
                <w:rFonts w:hint="eastAsia"/>
              </w:rPr>
            </w:pPr>
            <w:r>
              <w:rPr>
                <w:rFonts w:ascii="Times New Roman" w:hAnsi="Times New Roman" w:cs="Times New Roman"/>
              </w:rPr>
              <w:t xml:space="preserve">t：总传播、间接效应、排名变化及方向翻转</w:t>
            </w:r>
          </w:p>
        </w:tc>
      </w:tr>
      <w:tr w:rsidR="00DC087A" w14:paraId="3D1DFDC1" w14:textId="77777777">
        <w:trPr>
          <w:trHeight w:val="567"/>
          <w:cantSplit/>
        </w:trPr>
        <w:tc>
          <w:tcPr>
            <w:tcW w:w="1600" w:type="pct"/>
            <w:tcBorders>
              <w:top w:val="nil"/>
              <w:left w:val="nil"/>
              <w:bottom w:val="nil"/>
              <w:right w:val="nil"/>
            </w:tcBorders>
            <w:vAlign w:val="center"/>
          </w:tcPr>
          <w:p w14:paraId="799CE600" w14:textId="77777777" w:rsidR="00DC087A" w:rsidRDefault="00000000">
            <w:pPr>
              <w:spacing w:before="40" w:after="40" w:line="276" w:lineRule="auto"/>
              <w:jc w:val="center"/>
              <w:rPr>
                <w:rFonts w:hint="eastAsia"/>
              </w:rPr>
            </w:pPr>
            <w:r>
              <w:rPr>
                <w:rFonts w:ascii="Times New Roman" w:hAnsi="Times New Roman" w:cs="Times New Roman"/>
              </w:rPr>
              <w:t xml:space="preserve">Stability evidence</w:t>
            </w:r>
          </w:p>
        </w:tc>
        <w:tc>
          <w:tcPr>
            <w:tcW w:w="3400" w:type="pct"/>
            <w:tcBorders>
              <w:top w:val="nil"/>
              <w:left w:val="nil"/>
              <w:bottom w:val="nil"/>
              <w:right w:val="nil"/>
            </w:tcBorders>
            <w:vAlign w:val="center"/>
          </w:tcPr>
          <w:p w14:paraId="6471DCC7" w14:textId="77777777" w:rsidR="00DC087A" w:rsidRDefault="00000000">
            <w:pPr>
              <w:spacing w:before="40" w:after="40" w:line="276" w:lineRule="auto"/>
              <w:jc w:val="left"/>
              <w:rPr>
                <w:rFonts w:hint="eastAsia"/>
              </w:rPr>
            </w:pPr>
            <w:r>
              <w:rPr>
                <w:rFonts w:ascii="Times New Roman" w:hAnsi="Times New Roman" w:cs="Times New Roman"/>
              </w:rPr>
              <w:t xml:space="preserve">s：同号支持、Top-K 支持、Spearman/Jaccard 与模型角色</w:t>
            </w:r>
          </w:p>
        </w:tc>
      </w:tr>
      <w:tr w:rsidR="00DC087A" w14:paraId="7F3B127B" w14:textId="77777777">
        <w:trPr>
          <w:trHeight w:val="567"/>
          <w:cantSplit/>
        </w:trPr>
        <w:tc>
          <w:tcPr>
            <w:tcW w:w="1600" w:type="pct"/>
            <w:tcBorders>
              <w:top w:val="nil"/>
              <w:left w:val="nil"/>
              <w:bottom w:val="nil"/>
              <w:right w:val="nil"/>
            </w:tcBorders>
            <w:vAlign w:val="center"/>
          </w:tcPr>
          <w:p w14:paraId="565FB6B5" w14:textId="77777777" w:rsidR="00DC087A" w:rsidRDefault="00000000">
            <w:pPr>
              <w:spacing w:before="40" w:after="40" w:line="276" w:lineRule="auto"/>
              <w:jc w:val="center"/>
              <w:rPr>
                <w:rFonts w:hint="eastAsia"/>
              </w:rPr>
            </w:pPr>
            <w:r>
              <w:rPr>
                <w:rFonts w:ascii="Times New Roman" w:hAnsi="Times New Roman" w:cs="Times New Roman"/>
              </w:rPr>
              <w:t xml:space="preserve">Perturbation evidence</w:t>
            </w:r>
          </w:p>
        </w:tc>
        <w:tc>
          <w:tcPr>
            <w:tcW w:w="3400" w:type="pct"/>
            <w:tcBorders>
              <w:top w:val="nil"/>
              <w:left w:val="nil"/>
              <w:bottom w:val="nil"/>
              <w:right w:val="nil"/>
            </w:tcBorders>
            <w:vAlign w:val="center"/>
          </w:tcPr>
          <w:p w14:paraId="30D08C35" w14:textId="77777777" w:rsidR="00DC087A" w:rsidRDefault="00000000">
            <w:pPr>
              <w:spacing w:before="40" w:after="40" w:line="276" w:lineRule="auto"/>
              <w:jc w:val="left"/>
              <w:rPr>
                <w:rFonts w:hint="eastAsia"/>
              </w:rPr>
            </w:pPr>
            <w:r>
              <w:rPr>
                <w:rFonts w:ascii="Times New Roman" w:hAnsi="Times New Roman" w:cs="Times New Roman"/>
              </w:rPr>
              <w:t xml:space="preserve">v：配对差值、剂量曲线、区间及 q 值、覆盖率与随机性核验</w:t>
            </w:r>
          </w:p>
        </w:tc>
      </w:tr>
      <w:tr w:rsidR="00DC087A" w14:paraId="55768B99" w14:textId="77777777">
        <w:trPr>
          <w:trHeight w:val="567"/>
          <w:cantSplit/>
        </w:trPr>
        <w:tc>
          <w:tcPr>
            <w:tcW w:w="1600" w:type="pct"/>
            <w:tcBorders>
              <w:top w:val="nil"/>
              <w:left w:val="nil"/>
              <w:bottom w:val="single" w:sz="2" w:space="0" w:color="000000"/>
              <w:right w:val="nil"/>
            </w:tcBorders>
            <w:vAlign w:val="center"/>
          </w:tcPr>
          <w:p w14:paraId="5EBEEC37" w14:textId="77777777" w:rsidR="00DC087A" w:rsidRDefault="00000000">
            <w:pPr>
              <w:spacing w:before="40" w:after="40" w:line="276" w:lineRule="auto"/>
              <w:jc w:val="center"/>
              <w:rPr>
                <w:rFonts w:hint="eastAsia"/>
              </w:rPr>
            </w:pPr>
            <w:r>
              <w:rPr>
                <w:rFonts w:ascii="Times New Roman" w:hAnsi="Times New Roman" w:cs="Times New Roman"/>
              </w:rPr>
              <w:t xml:space="preserve">Biological evidence</w:t>
            </w:r>
          </w:p>
        </w:tc>
        <w:tc>
          <w:tcPr>
            <w:tcW w:w="3400" w:type="pct"/>
            <w:tcBorders>
              <w:top w:val="nil"/>
              <w:left w:val="nil"/>
              <w:bottom w:val="single" w:sz="2" w:space="0" w:color="000000"/>
              <w:right w:val="nil"/>
            </w:tcBorders>
            <w:vAlign w:val="center"/>
          </w:tcPr>
          <w:p w14:paraId="21394ED3" w14:textId="77777777" w:rsidR="00DC087A" w:rsidRDefault="00000000">
            <w:pPr>
              <w:spacing w:before="40" w:after="40" w:line="276" w:lineRule="auto"/>
              <w:jc w:val="left"/>
              <w:rPr>
                <w:rFonts w:hint="eastAsia"/>
              </w:rPr>
            </w:pPr>
            <w:r>
              <w:rPr>
                <w:rFonts w:ascii="Times New Roman" w:hAnsi="Times New Roman" w:cs="Times New Roman"/>
              </w:rPr>
              <w:t xml:space="preserve">b：独立通路、文献、队列及功能实验支持与证据来源</w:t>
            </w:r>
          </w:p>
        </w:tc>
      </w:tr>
    </w:tbl>
    <w:p w14:paraId="0EAF2964" w14:textId="77777777" w:rsidR="00DC087A" w:rsidRDefault="00DC087A">
      <w:pPr>
        <w:spacing w:line="360" w:lineRule="auto"/>
        <w:ind w:firstLine="480"/>
        <w:rPr>
          <w:rFonts w:ascii="Times New Roman" w:hAnsi="Times New Roman" w:cs="Times New Roman"/>
        </w:rPr>
        <w:widowControl w:val="1"/>
      </w:pPr>
    </w:p>
    <w:p w14:paraId="65790B64" w14:textId="77777777" w:rsidR="00DC087A" w:rsidRDefault="00000000">
      <w:pPr>
        <w:spacing w:line="360" w:lineRule="auto"/>
        <w:ind w:firstLine="480"/>
        <w:rPr>
          <w:rFonts w:hint="eastAsia"/>
        </w:rPr>
        <w:widowControl w:val="1"/>
      </w:pPr>
      <w:r>
        <w:rPr>
          <w:rFonts w:ascii="Times New Roman" w:hAnsi="Times New Roman" w:cs="Times New Roman"/>
        </w:rPr>
        <w:t xml:space="preserve">先检查可评价性：要求主要 ±0.5 SD 共同集合覆盖率不低于 80%、独立受试者数达到预定 N*，且通过零剂量与重复性核验。预设结构支持门槛为同一边至少 3/4 模型进入 Total Top50、其他模型至少 2/3 与 Primary 同号；扰动支持要求主要正、负剂量的 Δŷ(d)/d 方向一致、其他模型至少 2/3 同向。主检验以 BH 校正 q&lt;0.05 作为统计支持标准，同时报告区间；结构与扰动方向冲突时单列解释，不删除冲突边。</w:t>
        <w:br/>
        <w:t xml:space="preserve">在满足可评价性条件的候选中，依次比较跨模型响应支持数、主要剂量效应的稳健程度、独立生物学证据与原始编码，形成逐 Outcome 优先清单；另附结构排名、扰动排名和生物证据清单以便对照。跨 Outcome 只汇总入选次数与涉及结局，不合并不同临床含义的效应。报告证据不足项及全部对照，不强行凑成 Top30。</w:t>
      </w:r>
    </w:p>
    <w:p w14:paraId="4BF65EAF" w14:textId="77777777" w:rsidR="00DC087A" w:rsidRDefault="00000000">
      <w:pPr>
        <w:pStyle w:val="1"/>
        <w:jc w:val="center"/>
        <w:rPr>
          <w:rFonts w:hint="eastAsia"/>
        </w:rPr>
        <w:keepNext w:val="1"/>
      </w:pPr>
      <w:r>
        <w:t>五、验证策略</w:t>
      </w:r>
    </w:p>
    <w:p w14:paraId="5A9EF850" w14:textId="77777777" w:rsidR="00DC087A" w:rsidRDefault="00000000">
      <w:pPr>
        <w:pStyle w:val="2"/>
        <w:rPr>
          <w:rFonts w:hint="eastAsia"/>
        </w:rPr>
        <w:keepNext w:val="1"/>
      </w:pPr>
      <w:r>
        <w:t>5.1 内部一致性验证</w:t>
      </w:r>
    </w:p>
    <w:p w14:paraId="7DA3E129" w14:textId="77777777" w:rsidR="00DC087A" w:rsidRDefault="00000000">
      <w:pPr>
        <w:spacing w:line="360" w:lineRule="auto"/>
        <w:ind w:firstLine="480"/>
        <w:rPr>
          <w:rFonts w:hint="eastAsia"/>
        </w:rPr>
        <w:widowControl w:val="1"/>
      </w:pPr>
      <w:r>
        <w:rPr>
          <w:rFonts w:ascii="Times New Roman" w:hAnsi="Times New Roman" w:cs="Times New Roman"/>
        </w:rPr>
        <w:t xml:space="preserve">后续检查高排名候选与炎症、肝细胞损伤、胆汁淤积、凝血、免疫、内皮及肝肾相关过程的证据是否一致，并按具体 Outcome 解释。现有三个 hepatic failure 标签不能自动等同于 EASL-CLIF 确诊 ACLF，开展疾病特异性结论前需补充队列定义与标签核验。</w:t>
      </w:r>
    </w:p>
    <w:p w14:paraId="61BDE90A" w14:textId="77777777" w:rsidR="00DC087A" w:rsidRDefault="00000000">
      <w:pPr>
        <w:spacing w:line="360" w:lineRule="auto"/>
        <w:ind w:firstLine="480"/>
        <w:rPr>
          <w:rFonts w:hint="eastAsia"/>
        </w:rPr>
        <w:widowControl w:val="1"/>
      </w:pPr>
      <w:r>
        <w:rPr>
          <w:rFonts w:ascii="Times New Roman" w:hAnsi="Times New Roman" w:cs="Times New Roman"/>
        </w:rPr>
        <w:t xml:space="preserve">方向解释须同时考虑带符号效应、量纲、效应大小、跨模型一致性及证据来源，不能仅凭“促炎分子应正向、保护分子应负向”判定合理性。极小尾部效应的方向翻转应谨慎解释；外部知识仅用于独立解释与验证，不回填候选筛选规则。</w:t>
      </w:r>
    </w:p>
    <w:p w14:paraId="1C8D9F96" w14:textId="77777777" w:rsidR="00DC087A" w:rsidRDefault="00000000">
      <w:pPr>
        <w:pStyle w:val="2"/>
        <w:rPr>
          <w:rFonts w:hint="eastAsia"/>
        </w:rPr>
        <w:keepNext w:val="1"/>
      </w:pPr>
      <w:r>
        <w:t>5.2 稳健性验证</w:t>
      </w:r>
    </w:p>
    <w:p w14:paraId="70A807A6" w14:textId="77777777" w:rsidR="00DC087A" w:rsidRDefault="00000000">
      <w:pPr>
        <w:spacing w:line="360" w:lineRule="auto"/>
        <w:ind w:firstLine="480"/>
        <w:rPr>
          <w:rFonts w:hint="eastAsia"/>
        </w:rPr>
        <w:widowControl w:val="1"/>
      </w:pPr>
      <w:r>
        <w:rPr>
          <w:rFonts w:ascii="Times New Roman" w:hAnsi="Times New Roman" w:cs="Times New Roman"/>
        </w:rPr>
        <w:t xml:space="preserve">稳健性验证围绕模型、传播计算、剂量及抽样不确定性展开，实施下列四项互补分析，并在同一规则下报告候选与对照：</w:t>
      </w:r>
    </w:p>
    <w:tbl>
      <w:tblPr>
        <w:tblW w:w="5000" w:type="pct"/>
        <w:tblLayout w:type="fixed"/>
        <w:tblCellMar>
          <w:left w:w="10" w:type="dxa"/>
          <w:right w:w="10" w:type="dxa"/>
        </w:tblCellMar>
        <w:tblLook w:val="04A0" w:firstRow="1" w:lastRow="0" w:firstColumn="1" w:lastColumn="0" w:noHBand="0" w:noVBand="1"/>
      </w:tblPr>
      <w:tblGrid>
        <w:gridCol w:w="2326"/>
        <w:gridCol w:w="5980"/>
      </w:tblGrid>
      <w:tr w:rsidR="00DC087A" w14:paraId="114C9FF5" w14:textId="77777777">
        <w:trPr>
          <w:tblHeader/>
          <w:cantSplit/>
        </w:trPr>
        <w:tc>
          <w:tcPr>
            <w:tcW w:w="1400" w:type="pct"/>
            <w:tcBorders>
              <w:top w:val="single" w:sz="2" w:space="0" w:color="000000"/>
              <w:left w:val="nil"/>
              <w:bottom w:val="single" w:sz="0" w:space="0" w:color="000000"/>
              <w:right w:val="nil"/>
            </w:tcBorders>
            <w:vAlign w:val="center"/>
          </w:tcPr>
          <w:p w14:paraId="2439E36E" w14:textId="77777777" w:rsidR="00DC087A" w:rsidRDefault="00000000">
            <w:pPr>
              <w:spacing w:before="40" w:after="40" w:line="276" w:lineRule="auto"/>
              <w:jc w:val="center"/>
              <w:rPr>
                <w:rFonts w:hint="eastAsia"/>
              </w:rPr>
            </w:pPr>
            <w:r>
              <w:rPr>
                <w:rFonts w:ascii="Times New Roman" w:hAnsi="Times New Roman" w:cs="Times New Roman"/>
                <w:b/>
                <w:bCs/>
              </w:rPr>
              <w:lastRenderedPageBreak/>
              <w:t>验证项目</w:t>
            </w:r>
          </w:p>
        </w:tc>
        <w:tc>
          <w:tcPr>
            <w:tcW w:w="3600" w:type="pct"/>
            <w:tcBorders>
              <w:top w:val="single" w:sz="2" w:space="0" w:color="000000"/>
              <w:left w:val="nil"/>
              <w:bottom w:val="single" w:sz="0" w:space="0" w:color="000000"/>
              <w:right w:val="nil"/>
            </w:tcBorders>
            <w:vAlign w:val="center"/>
          </w:tcPr>
          <w:p w14:paraId="1D48611F" w14:textId="77777777" w:rsidR="00DC087A" w:rsidRDefault="00000000">
            <w:pPr>
              <w:spacing w:before="40" w:after="40" w:line="276" w:lineRule="auto"/>
              <w:jc w:val="center"/>
              <w:rPr>
                <w:rFonts w:hint="eastAsia"/>
              </w:rPr>
            </w:pPr>
            <w:r>
              <w:rPr>
                <w:rFonts w:ascii="Times New Roman" w:hAnsi="Times New Roman" w:cs="Times New Roman"/>
                <w:b/>
                <w:bCs/>
              </w:rPr>
              <w:t>目的</w:t>
            </w:r>
          </w:p>
        </w:tc>
      </w:tr>
      <w:tr w:rsidR="00DC087A" w14:paraId="7EA62825" w14:textId="77777777">
        <w:trPr>
          <w:cantSplit/>
        </w:trPr>
        <w:tc>
          <w:tcPr>
            <w:tcW w:w="1400" w:type="pct"/>
            <w:tcBorders>
              <w:top w:val="nil"/>
              <w:left w:val="nil"/>
              <w:bottom w:val="nil"/>
              <w:right w:val="nil"/>
            </w:tcBorders>
            <w:vAlign w:val="center"/>
          </w:tcPr>
          <w:p w14:paraId="619AD52C" w14:textId="77777777" w:rsidR="00DC087A" w:rsidRDefault="00000000">
            <w:pPr>
              <w:spacing w:before="40" w:after="40" w:line="276" w:lineRule="auto"/>
              <w:jc w:val="left"/>
              <w:rPr>
                <w:rFonts w:hint="eastAsia"/>
              </w:rPr>
            </w:pPr>
            <w:r>
              <w:rPr>
                <w:rFonts w:ascii="Times New Roman" w:hAnsi="Times New Roman" w:cs="Times New Roman"/>
              </w:rPr>
              <w:t xml:space="preserve">跨模型稳定性</w:t>
            </w:r>
          </w:p>
        </w:tc>
        <w:tc>
          <w:tcPr>
            <w:tcW w:w="3600" w:type="pct"/>
            <w:tcBorders>
              <w:top w:val="nil"/>
              <w:left w:val="nil"/>
              <w:bottom w:val="nil"/>
              <w:right w:val="nil"/>
            </w:tcBorders>
            <w:vAlign w:val="center"/>
          </w:tcPr>
          <w:p w14:paraId="002D6E71" w14:textId="77777777" w:rsidR="00DC087A" w:rsidRDefault="00000000">
            <w:pPr>
              <w:spacing w:before="40" w:after="40" w:line="276" w:lineRule="auto"/>
              <w:jc w:val="left"/>
              <w:rPr>
                <w:rFonts w:hint="eastAsia"/>
              </w:rPr>
            </w:pPr>
            <w:r>
              <w:rPr>
                <w:rFonts w:ascii="Times New Roman" w:hAnsi="Times New Roman" w:cs="Times New Roman"/>
              </w:rPr>
              <w:t xml:space="preserve">分角色比较四模型逐 Outcome 响应，分别报告共同与各自队列的方向和排名一致性</w:t>
            </w:r>
          </w:p>
        </w:tc>
      </w:tr>
      <w:tr w:rsidR="00DC087A" w14:paraId="022C3B8F" w14:textId="77777777">
        <w:trPr>
          <w:cantSplit/>
        </w:trPr>
        <w:tc>
          <w:tcPr>
            <w:tcW w:w="1400" w:type="pct"/>
            <w:tcBorders>
              <w:top w:val="nil"/>
              <w:left w:val="nil"/>
              <w:bottom w:val="nil"/>
              <w:right w:val="nil"/>
            </w:tcBorders>
            <w:vAlign w:val="center"/>
          </w:tcPr>
          <w:p w14:paraId="40E81EB9" w14:textId="77777777" w:rsidR="00DC087A" w:rsidRDefault="00000000">
            <w:pPr>
              <w:spacing w:before="40" w:after="40" w:line="276" w:lineRule="auto"/>
              <w:jc w:val="left"/>
              <w:rPr>
                <w:rFonts w:hint="eastAsia"/>
              </w:rPr>
            </w:pPr>
            <w:r>
              <w:rPr>
                <w:rFonts w:ascii="Times New Roman" w:hAnsi="Times New Roman" w:cs="Times New Roman"/>
              </w:rPr>
              <w:t xml:space="preserve">传播数值敏感性</w:t>
            </w:r>
          </w:p>
        </w:tc>
        <w:tc>
          <w:tcPr>
            <w:tcW w:w="3600" w:type="pct"/>
            <w:tcBorders>
              <w:top w:val="nil"/>
              <w:left w:val="nil"/>
              <w:bottom w:val="nil"/>
              <w:right w:val="nil"/>
            </w:tcBorders>
            <w:vAlign w:val="center"/>
          </w:tcPr>
          <w:p w14:paraId="17A5D2B9" w14:textId="77777777" w:rsidR="00DC087A" w:rsidRDefault="00000000">
            <w:pPr>
              <w:spacing w:before="40" w:after="40" w:line="276" w:lineRule="auto"/>
              <w:jc w:val="left"/>
              <w:rPr>
                <w:rFonts w:hint="eastAsia"/>
              </w:rPr>
            </w:pPr>
            <w:r>
              <w:rPr>
                <w:rFonts w:ascii="Times New Roman" w:hAnsi="Times New Roman" w:cs="Times New Roman"/>
              </w:rPr>
              <w:t xml:space="preserve">核验谱半径、条件数及 Direct 重算；比较有限阶截断与登记阈值对总排名的影响</w:t>
            </w:r>
          </w:p>
        </w:tc>
      </w:tr>
      <w:tr w:rsidR="00DC087A" w14:paraId="38ACB28D" w14:textId="77777777">
        <w:trPr>
          <w:cantSplit/>
        </w:trPr>
        <w:tc>
          <w:tcPr>
            <w:tcW w:w="1400" w:type="pct"/>
            <w:tcBorders>
              <w:top w:val="nil"/>
              <w:left w:val="nil"/>
              <w:bottom w:val="nil"/>
              <w:right w:val="nil"/>
            </w:tcBorders>
            <w:vAlign w:val="center"/>
          </w:tcPr>
          <w:p w14:paraId="7E20F3D2" w14:textId="77777777" w:rsidR="00DC087A" w:rsidRDefault="00000000">
            <w:pPr>
              <w:spacing w:before="40" w:after="40" w:line="276" w:lineRule="auto"/>
              <w:jc w:val="left"/>
              <w:rPr>
                <w:rFonts w:hint="eastAsia"/>
              </w:rPr>
            </w:pPr>
            <w:r>
              <w:rPr>
                <w:rFonts w:ascii="Times New Roman" w:hAnsi="Times New Roman" w:cs="Times New Roman"/>
              </w:rPr>
              <w:t xml:space="preserve">扰动幅度敏感性</w:t>
            </w:r>
          </w:p>
        </w:tc>
        <w:tc>
          <w:tcPr>
            <w:tcW w:w="3600" w:type="pct"/>
            <w:tcBorders>
              <w:top w:val="nil"/>
              <w:left w:val="nil"/>
              <w:bottom w:val="nil"/>
              <w:right w:val="nil"/>
            </w:tcBorders>
            <w:vAlign w:val="center"/>
          </w:tcPr>
          <w:p w14:paraId="679BA99F" w14:textId="77777777" w:rsidR="00DC087A" w:rsidRDefault="00000000">
            <w:pPr>
              <w:spacing w:before="40" w:after="40" w:line="276" w:lineRule="auto"/>
              <w:jc w:val="left"/>
              <w:rPr>
                <w:rFonts w:hint="eastAsia"/>
              </w:rPr>
            </w:pPr>
            <w:r>
              <w:rPr>
                <w:rFonts w:ascii="Times New Roman" w:hAnsi="Times New Roman" w:cs="Times New Roman"/>
              </w:rPr>
              <w:t xml:space="preserve">比较五档剂量的共同患者响应、单调性、非对称性与覆盖率，另对照低结构效应分子</w:t>
            </w:r>
          </w:p>
        </w:tc>
      </w:tr>
      <w:tr w:rsidR="00DC087A" w14:paraId="066FF664" w14:textId="77777777">
        <w:trPr>
          <w:cantSplit/>
        </w:trPr>
        <w:tc>
          <w:tcPr>
            <w:tcW w:w="1400" w:type="pct"/>
            <w:tcBorders>
              <w:top w:val="nil"/>
              <w:left w:val="nil"/>
              <w:bottom w:val="single" w:sz="2" w:space="0" w:color="000000"/>
              <w:right w:val="nil"/>
            </w:tcBorders>
            <w:vAlign w:val="center"/>
          </w:tcPr>
          <w:p w14:paraId="4F094DB3" w14:textId="77777777" w:rsidR="00DC087A" w:rsidRDefault="00000000">
            <w:pPr>
              <w:spacing w:before="40" w:after="40" w:line="276" w:lineRule="auto"/>
              <w:jc w:val="left"/>
              <w:rPr>
                <w:rFonts w:hint="eastAsia"/>
              </w:rPr>
            </w:pPr>
            <w:r>
              <w:rPr>
                <w:rFonts w:ascii="Times New Roman" w:hAnsi="Times New Roman" w:cs="Times New Roman"/>
              </w:rPr>
              <w:t xml:space="preserve">Bootstrap 区间</w:t>
            </w:r>
          </w:p>
        </w:tc>
        <w:tc>
          <w:tcPr>
            <w:tcW w:w="3600" w:type="pct"/>
            <w:tcBorders>
              <w:top w:val="nil"/>
              <w:left w:val="nil"/>
              <w:bottom w:val="single" w:sz="2" w:space="0" w:color="000000"/>
              <w:right w:val="nil"/>
            </w:tcBorders>
            <w:vAlign w:val="center"/>
          </w:tcPr>
          <w:p w14:paraId="44C1EFFE" w14:textId="77777777" w:rsidR="00DC087A" w:rsidRDefault="00000000">
            <w:pPr>
              <w:spacing w:before="40" w:after="40" w:line="276" w:lineRule="auto"/>
              <w:jc w:val="left"/>
              <w:rPr>
                <w:rFonts w:hint="eastAsia"/>
              </w:rPr>
            </w:pPr>
            <w:r>
              <w:rPr>
                <w:rFonts w:ascii="Times New Roman" w:hAnsi="Times New Roman" w:cs="Times New Roman"/>
              </w:rPr>
              <w:t xml:space="preserve">分组 Bootstrap 2000 次、配对 Monte Carlo 50 次，单列严格未训练与分层结果</w:t>
            </w:r>
          </w:p>
        </w:tc>
      </w:tr>
    </w:tbl>
    <w:p w14:paraId="71FA80F2" w14:textId="77777777" w:rsidR="00DC087A" w:rsidRDefault="00000000">
      <w:pPr>
        <w:pStyle w:val="2"/>
        <w:rPr>
          <w:rFonts w:hint="eastAsia"/>
        </w:rPr>
        <w:keepNext w:val="1"/>
      </w:pPr>
      <w:r>
        <w:t>5.3 外部生物学验证</w:t>
      </w:r>
    </w:p>
    <w:p w14:paraId="2D0F0FA0" w14:textId="77777777" w:rsidR="00DC087A" w:rsidRDefault="00000000">
      <w:pPr>
        <w:spacing w:line="360" w:lineRule="auto"/>
        <w:ind w:firstLine="480"/>
        <w:rPr>
          <w:rFonts w:hint="eastAsia"/>
        </w:rPr>
        <w:widowControl w:val="1"/>
      </w:pPr>
      <w:r>
        <w:rPr>
          <w:rFonts w:ascii="Times New Roman" w:hAnsi="Times New Roman" w:cs="Times New Roman"/>
        </w:rPr>
        <w:t xml:space="preserve">外部生物学验证以已测得且可映射的分子为背景集，对候选开展 KEGG、Reactome、GO 等通路分析，并核对 DisGeNET 及肝病相关文献证据。分别处理蛋白与代谢物映射，保留原始编码、映射失败及一对多关系；记录数据库版本、检索日期、统计方法与多重检验校正。炎症、凝血、胆汁酸、脂质代谢、氧化应激等过程作为待检验方向，不预先宣布富集。</w:t>
      </w:r>
    </w:p>
    <w:p w14:paraId="729278AF" w14:textId="77777777" w:rsidR="00DC087A" w:rsidRDefault="00000000">
      <w:pPr>
        <w:spacing w:line="360" w:lineRule="auto"/>
        <w:ind w:firstLine="480"/>
        <w:rPr>
          <w:rFonts w:hint="eastAsia"/>
        </w:rPr>
        <w:widowControl w:val="1"/>
      </w:pPr>
      <w:r>
        <w:rPr>
          <w:rFonts w:ascii="Times New Roman" w:hAnsi="Times New Roman" w:cs="Times New Roman"/>
        </w:rPr>
        <w:t xml:space="preserve">通路与文献证据用于补充解释和实验优先级评估，不能替代独立队列、功能实验或临床验证，也不能把同一筛选依据重复计为独立支持。</w:t>
      </w:r>
    </w:p>
    <w:p w14:paraId="58B36E2B" w14:textId="77777777" w:rsidR="00DC087A" w:rsidRDefault="00000000">
      <w:pPr>
        <w:pStyle w:val="1"/>
        <w:jc w:val="center"/>
        <w:rPr>
          <w:rFonts w:hint="eastAsia"/>
        </w:rPr>
        <w:keepNext w:val="1"/>
      </w:pPr>
      <w:r>
        <w:t>六、预期产出</w:t>
      </w:r>
    </w:p>
    <w:p w14:paraId="681C463C" w14:textId="77777777" w:rsidR="00DC087A" w:rsidRDefault="00000000">
      <w:pPr>
        <w:spacing w:line="360" w:lineRule="auto"/>
        <w:ind w:firstLine="480"/>
        <w:rPr>
          <w:rFonts w:ascii="Times New Roman" w:hAnsi="Times New Roman" w:cs="Times New Roman"/>
        </w:rPr>
        <w:widowControl w:val="1"/>
      </w:pPr>
      <w:r>
        <w:rPr>
          <w:rFonts w:ascii="Times New Roman" w:hAnsi="Times New Roman" w:cs="Times New Roman"/>
        </w:rPr>
        <w:t xml:space="preserve">研究产出覆盖模型结构、配对扰动、统计评价与独立验证，形成以下可追溯材料：</w:t>
      </w:r>
    </w:p>
    <w:p w14:paraId="392A44F7" w14:textId="77777777" w:rsidR="00DC087A" w:rsidRDefault="00DC087A">
      <w:pPr>
        <w:spacing w:line="360" w:lineRule="auto"/>
        <w:ind w:firstLine="480"/>
        <w:rPr>
          <w:rFonts w:ascii="Times New Roman" w:hAnsi="Times New Roman" w:cs="Times New Roman"/>
        </w:rPr>
        <w:widowControl w:val="1"/>
      </w:pPr>
    </w:p>
    <w:tbl>
      <w:tblPr>
        <w:tblW w:w="5000" w:type="pct"/>
        <w:tblLayout w:type="fixed"/>
        <w:tblCellMar>
          <w:left w:w="10" w:type="dxa"/>
          <w:right w:w="10" w:type="dxa"/>
        </w:tblCellMar>
        <w:tblLook w:val="04A0" w:firstRow="1" w:lastRow="0" w:firstColumn="1" w:lastColumn="0" w:noHBand="0" w:noVBand="1"/>
      </w:tblPr>
      <w:tblGrid>
        <w:gridCol w:w="1188"/>
        <w:gridCol w:w="7118"/>
      </w:tblGrid>
      <w:tr w:rsidR="00DC087A" w14:paraId="70C53B7E" w14:textId="77777777">
        <w:trPr>
          <w:tblHeader/>
          <w:cantSplit/>
        </w:trPr>
        <w:tc>
          <w:tcPr>
            <w:tcW w:w="715" w:type="pct"/>
            <w:tcBorders>
              <w:top w:val="single" w:sz="2" w:space="0" w:color="000000"/>
              <w:left w:val="nil"/>
              <w:bottom w:val="single" w:sz="0" w:space="0" w:color="000000"/>
              <w:right w:val="nil"/>
            </w:tcBorders>
            <w:shd w:val="clear" w:color="auto" w:fill="D9E2F3"/>
            <w:vAlign w:val="center"/>
          </w:tcPr>
          <w:p w14:paraId="3DC87662" w14:textId="77777777" w:rsidR="00DC087A" w:rsidRDefault="00000000">
            <w:pPr>
              <w:spacing w:before="40" w:after="40" w:line="276" w:lineRule="auto"/>
              <w:jc w:val="center"/>
              <w:rPr>
                <w:rFonts w:hint="eastAsia"/>
              </w:rPr>
            </w:pPr>
            <w:r>
              <w:rPr>
                <w:rFonts w:ascii="Times New Roman" w:hAnsi="Times New Roman" w:cs="Times New Roman"/>
                <w:b/>
                <w:bCs/>
              </w:rPr>
              <w:t>序号</w:t>
            </w:r>
          </w:p>
        </w:tc>
        <w:tc>
          <w:tcPr>
            <w:tcW w:w="4284" w:type="pct"/>
            <w:tcBorders>
              <w:top w:val="single" w:sz="2" w:space="0" w:color="000000"/>
              <w:left w:val="nil"/>
              <w:bottom w:val="single" w:sz="0" w:space="0" w:color="000000"/>
              <w:right w:val="nil"/>
            </w:tcBorders>
            <w:shd w:val="clear" w:color="auto" w:fill="D9E2F3"/>
            <w:vAlign w:val="center"/>
          </w:tcPr>
          <w:p w14:paraId="3FACF2BC" w14:textId="77777777" w:rsidR="00DC087A" w:rsidRDefault="00000000">
            <w:pPr>
              <w:spacing w:before="40" w:after="40" w:line="276" w:lineRule="auto"/>
              <w:jc w:val="center"/>
              <w:rPr>
                <w:rFonts w:hint="eastAsia"/>
              </w:rPr>
            </w:pPr>
            <w:r>
              <w:rPr>
                <w:rFonts w:ascii="Times New Roman" w:hAnsi="Times New Roman" w:cs="Times New Roman"/>
                <w:b/>
                <w:bCs/>
              </w:rPr>
              <w:t>产出内容</w:t>
            </w:r>
          </w:p>
        </w:tc>
      </w:tr>
      <w:tr w:rsidR="00DC087A" w14:paraId="16A22314" w14:textId="77777777">
        <w:trPr>
          <w:trHeight w:val="567"/>
          <w:cantSplit/>
        </w:trPr>
        <w:tc>
          <w:tcPr>
            <w:tcW w:w="715" w:type="pct"/>
            <w:tcBorders>
              <w:top w:val="nil"/>
              <w:left w:val="nil"/>
              <w:bottom w:val="nil"/>
              <w:right w:val="nil"/>
            </w:tcBorders>
            <w:vAlign w:val="center"/>
          </w:tcPr>
          <w:p w14:paraId="36037260" w14:textId="77777777" w:rsidR="00DC087A" w:rsidRDefault="00000000">
            <w:pPr>
              <w:spacing w:before="40" w:after="40" w:line="276" w:lineRule="auto"/>
              <w:jc w:val="center"/>
              <w:rPr>
                <w:rFonts w:hint="eastAsia"/>
              </w:rPr>
            </w:pPr>
            <w:r>
              <w:rPr>
                <w:rFonts w:ascii="Times New Roman" w:hAnsi="Times New Roman" w:cs="Times New Roman"/>
              </w:rPr>
              <w:t>1</w:t>
            </w:r>
          </w:p>
        </w:tc>
        <w:tc>
          <w:tcPr>
            <w:tcW w:w="4284" w:type="pct"/>
            <w:tcBorders>
              <w:top w:val="nil"/>
              <w:left w:val="nil"/>
              <w:bottom w:val="nil"/>
              <w:right w:val="nil"/>
            </w:tcBorders>
            <w:vAlign w:val="center"/>
          </w:tcPr>
          <w:p w14:paraId="7B13888B" w14:textId="77777777" w:rsidR="00DC087A" w:rsidRDefault="00000000">
            <w:pPr>
              <w:spacing w:before="40" w:after="40" w:line="276" w:lineRule="auto"/>
              <w:jc w:val="left"/>
              <w:rPr>
                <w:rFonts w:hint="eastAsia"/>
              </w:rPr>
            </w:pPr>
            <w:r>
              <w:rPr>
                <w:rFonts w:ascii="Times New Roman" w:hAnsi="Times New Roman" w:cs="Times New Roman"/>
              </w:rPr>
              <w:t xml:space="preserve">已有：当前 outcome-in-SCM 代码与多 seed 训练导出；权重兼容性和正式验证仍需核验</w:t>
            </w:r>
          </w:p>
        </w:tc>
      </w:tr>
      <w:tr w:rsidR="00DC087A" w14:paraId="5883AA68" w14:textId="77777777">
        <w:trPr>
          <w:trHeight w:val="567"/>
          <w:cantSplit/>
        </w:trPr>
        <w:tc>
          <w:tcPr>
            <w:tcW w:w="715" w:type="pct"/>
            <w:tcBorders>
              <w:top w:val="nil"/>
              <w:left w:val="nil"/>
              <w:bottom w:val="nil"/>
              <w:right w:val="nil"/>
            </w:tcBorders>
            <w:vAlign w:val="center"/>
          </w:tcPr>
          <w:p w14:paraId="463628B5" w14:textId="77777777" w:rsidR="00DC087A" w:rsidRDefault="00000000">
            <w:pPr>
              <w:spacing w:before="40" w:after="40" w:line="276" w:lineRule="auto"/>
              <w:jc w:val="center"/>
              <w:rPr>
                <w:rFonts w:hint="eastAsia"/>
              </w:rPr>
            </w:pPr>
            <w:r>
              <w:rPr>
                <w:rFonts w:ascii="Times New Roman" w:hAnsi="Times New Roman" w:cs="Times New Roman"/>
              </w:rPr>
              <w:t>2</w:t>
            </w:r>
          </w:p>
        </w:tc>
        <w:tc>
          <w:tcPr>
            <w:tcW w:w="4284" w:type="pct"/>
            <w:tcBorders>
              <w:top w:val="nil"/>
              <w:left w:val="nil"/>
              <w:bottom w:val="nil"/>
              <w:right w:val="nil"/>
            </w:tcBorders>
            <w:vAlign w:val="center"/>
          </w:tcPr>
          <w:p w14:paraId="5DDBBC77" w14:textId="77777777" w:rsidR="00DC087A" w:rsidRDefault="00000000">
            <w:pPr>
              <w:spacing w:before="40" w:after="40" w:line="276" w:lineRule="auto"/>
              <w:jc w:val="left"/>
              <w:rPr>
                <w:rFonts w:hint="eastAsia"/>
              </w:rPr>
            </w:pPr>
            <w:r>
              <w:rPr>
                <w:rFonts w:ascii="Times New Roman" w:hAnsi="Times New Roman" w:cs="Times New Roman"/>
              </w:rPr>
              <w:t xml:space="preserve">已有：逐 Outcome 的 53,958 条直接边、四模型比较、Top100 与稳定性结果</w:t>
            </w:r>
          </w:p>
        </w:tc>
      </w:tr>
      <w:tr w:rsidR="00DC087A" w14:paraId="326DDF5C" w14:textId="77777777">
        <w:trPr>
          <w:trHeight w:val="567"/>
          <w:cantSplit/>
        </w:trPr>
        <w:tc>
          <w:tcPr>
            <w:tcW w:w="715" w:type="pct"/>
            <w:tcBorders>
              <w:top w:val="nil"/>
              <w:left w:val="nil"/>
              <w:bottom w:val="nil"/>
              <w:right w:val="nil"/>
            </w:tcBorders>
            <w:vAlign w:val="center"/>
          </w:tcPr>
          <w:p w14:paraId="3B3182A8" w14:textId="77777777" w:rsidR="00DC087A" w:rsidRDefault="00000000">
            <w:pPr>
              <w:spacing w:before="40" w:after="40" w:line="276" w:lineRule="auto"/>
              <w:jc w:val="center"/>
              <w:rPr>
                <w:rFonts w:hint="eastAsia"/>
              </w:rPr>
            </w:pPr>
            <w:r>
              <w:rPr>
                <w:rFonts w:ascii="Times New Roman" w:hAnsi="Times New Roman" w:cs="Times New Roman"/>
              </w:rPr>
              <w:t>3</w:t>
            </w:r>
          </w:p>
        </w:tc>
        <w:tc>
          <w:tcPr>
            <w:tcW w:w="4284" w:type="pct"/>
            <w:tcBorders>
              <w:top w:val="nil"/>
              <w:left w:val="nil"/>
              <w:bottom w:val="nil"/>
              <w:right w:val="nil"/>
            </w:tcBorders>
            <w:vAlign w:val="center"/>
          </w:tcPr>
          <w:p w14:paraId="5746986B" w14:textId="77777777" w:rsidR="00DC087A" w:rsidRDefault="00000000">
            <w:pPr>
              <w:spacing w:before="40" w:after="40" w:line="276" w:lineRule="auto"/>
              <w:jc w:val="left"/>
              <w:rPr>
                <w:rFonts w:hint="eastAsia"/>
              </w:rPr>
            </w:pPr>
            <w:r>
              <w:rPr>
                <w:rFonts w:ascii="Times New Roman" w:hAnsi="Times New Roman" w:cs="Times New Roman"/>
              </w:rPr>
              <w:t xml:space="preserve">已有：潜变量总传播投影、直接/间接/总效应及模式分析结果</w:t>
            </w:r>
          </w:p>
        </w:tc>
      </w:tr>
      <w:tr w:rsidR="00DC087A" w14:paraId="6B89FF45" w14:textId="77777777">
        <w:trPr>
          <w:trHeight w:val="567"/>
          <w:cantSplit/>
        </w:trPr>
        <w:tc>
          <w:tcPr>
            <w:tcW w:w="715" w:type="pct"/>
            <w:tcBorders>
              <w:top w:val="nil"/>
              <w:left w:val="nil"/>
              <w:bottom w:val="nil"/>
              <w:right w:val="nil"/>
            </w:tcBorders>
            <w:vAlign w:val="center"/>
          </w:tcPr>
          <w:p w14:paraId="3E96B54D" w14:textId="77777777" w:rsidR="00DC087A" w:rsidRDefault="00000000">
            <w:pPr>
              <w:spacing w:before="40" w:after="40" w:line="276" w:lineRule="auto"/>
              <w:jc w:val="center"/>
              <w:rPr>
                <w:rFonts w:hint="eastAsia"/>
              </w:rPr>
            </w:pPr>
            <w:r>
              <w:rPr>
                <w:rFonts w:ascii="Times New Roman" w:hAnsi="Times New Roman" w:cs="Times New Roman"/>
              </w:rPr>
              <w:t>4</w:t>
            </w:r>
          </w:p>
        </w:tc>
        <w:tc>
          <w:tcPr>
            <w:tcW w:w="4284" w:type="pct"/>
            <w:tcBorders>
              <w:top w:val="nil"/>
              <w:left w:val="nil"/>
              <w:bottom w:val="nil"/>
              <w:right w:val="nil"/>
            </w:tcBorders>
            <w:vAlign w:val="center"/>
          </w:tcPr>
          <w:p w14:paraId="29D17386" w14:textId="77777777" w:rsidR="00DC087A" w:rsidRDefault="00000000">
            <w:pPr>
              <w:spacing w:before="40" w:after="40" w:line="276" w:lineRule="auto"/>
              <w:jc w:val="left"/>
              <w:rPr>
                <w:rFonts w:hint="eastAsia"/>
              </w:rPr>
            </w:pPr>
            <w:r>
              <w:rPr>
                <w:rFonts w:ascii="Times New Roman" w:hAnsi="Times New Roman" w:cs="Times New Roman"/>
              </w:rPr>
              <w:t xml:space="preserve">候选与对照、队列及剂量计划；全部候选的患者级基线、扰动预测、响应差与执行原因长表</w:t>
            </w:r>
          </w:p>
        </w:tc>
      </w:tr>
      <w:tr w:rsidR="00DC087A" w14:paraId="62916A87" w14:textId="77777777">
        <w:trPr>
          <w:trHeight w:val="567"/>
          <w:cantSplit/>
        </w:trPr>
        <w:tc>
          <w:tcPr>
            <w:tcW w:w="715" w:type="pct"/>
            <w:tcBorders>
              <w:top w:val="nil"/>
              <w:left w:val="nil"/>
              <w:bottom w:val="nil"/>
              <w:right w:val="nil"/>
            </w:tcBorders>
            <w:vAlign w:val="center"/>
          </w:tcPr>
          <w:p w14:paraId="78B517CB" w14:textId="77777777" w:rsidR="00DC087A" w:rsidRDefault="00000000">
            <w:pPr>
              <w:spacing w:before="40" w:after="40" w:line="276" w:lineRule="auto"/>
              <w:jc w:val="center"/>
              <w:rPr>
                <w:rFonts w:hint="eastAsia"/>
              </w:rPr>
            </w:pPr>
            <w:r>
              <w:rPr>
                <w:rFonts w:ascii="Times New Roman" w:hAnsi="Times New Roman" w:cs="Times New Roman"/>
              </w:rPr>
              <w:t>5</w:t>
            </w:r>
          </w:p>
        </w:tc>
        <w:tc>
          <w:tcPr>
            <w:tcW w:w="4284" w:type="pct"/>
            <w:tcBorders>
              <w:top w:val="nil"/>
              <w:left w:val="nil"/>
              <w:bottom w:val="nil"/>
              <w:right w:val="nil"/>
            </w:tcBorders>
            <w:vAlign w:val="center"/>
          </w:tcPr>
          <w:p w14:paraId="5FF08251" w14:textId="77777777" w:rsidR="00DC087A" w:rsidRDefault="00000000">
            <w:pPr>
              <w:spacing w:before="40" w:after="40" w:line="276" w:lineRule="auto"/>
              <w:jc w:val="left"/>
              <w:rPr>
                <w:rFonts w:hint="eastAsia"/>
              </w:rPr>
            </w:pPr>
            <w:r>
              <w:rPr>
                <w:rFonts w:ascii="Times New Roman" w:hAnsi="Times New Roman" w:cs="Times New Roman"/>
              </w:rPr>
              <w:t xml:space="preserve">跨模型、剂量、传播设定与随机性敏感性结果，受试者级 Bootstrap 区间及多重校正统计报告</w:t>
            </w:r>
          </w:p>
        </w:tc>
      </w:tr>
      <w:tr w:rsidR="00DC087A" w14:paraId="00A527D9" w14:textId="77777777">
        <w:trPr>
          <w:trHeight w:val="567"/>
          <w:cantSplit/>
        </w:trPr>
        <w:tc>
          <w:tcPr>
            <w:tcW w:w="715" w:type="pct"/>
            <w:tcBorders>
              <w:top w:val="nil"/>
              <w:left w:val="nil"/>
              <w:bottom w:val="nil"/>
              <w:right w:val="nil"/>
            </w:tcBorders>
            <w:vAlign w:val="center"/>
          </w:tcPr>
          <w:p w14:paraId="376AEFE7" w14:textId="77777777" w:rsidR="00DC087A" w:rsidRDefault="00000000">
            <w:pPr>
              <w:spacing w:before="40" w:after="40" w:line="276" w:lineRule="auto"/>
              <w:jc w:val="center"/>
              <w:rPr>
                <w:rFonts w:hint="eastAsia"/>
              </w:rPr>
            </w:pPr>
            <w:r>
              <w:rPr>
                <w:rFonts w:ascii="Times New Roman" w:hAnsi="Times New Roman" w:cs="Times New Roman"/>
              </w:rPr>
              <w:t>6</w:t>
            </w:r>
          </w:p>
        </w:tc>
        <w:tc>
          <w:tcPr>
            <w:tcW w:w="4284" w:type="pct"/>
            <w:tcBorders>
              <w:top w:val="nil"/>
              <w:left w:val="nil"/>
              <w:bottom w:val="nil"/>
              <w:right w:val="nil"/>
            </w:tcBorders>
            <w:vAlign w:val="center"/>
          </w:tcPr>
          <w:p w14:paraId="5438692F" w14:textId="77777777" w:rsidR="00DC087A" w:rsidRDefault="00000000">
            <w:pPr>
              <w:spacing w:before="40" w:after="40" w:line="276" w:lineRule="auto"/>
              <w:jc w:val="left"/>
              <w:rPr>
                <w:rFonts w:hint="eastAsia"/>
              </w:rPr>
            </w:pPr>
            <w:r>
              <w:rPr>
                <w:rFonts w:ascii="Times New Roman" w:hAnsi="Times New Roman" w:cs="Times New Roman"/>
              </w:rPr>
              <w:t xml:space="preserve">逐 Outcome 候选优先清单与证据不足清单，附结构、扰动及生物证据独立排序，不预设最终入选数量</w:t>
            </w:r>
          </w:p>
        </w:tc>
      </w:tr>
      <w:tr w:rsidR="00DC087A" w14:paraId="1C634059" w14:textId="77777777">
        <w:trPr>
          <w:trHeight w:val="567"/>
          <w:cantSplit/>
        </w:trPr>
        <w:tc>
          <w:tcPr>
            <w:tcW w:w="715" w:type="pct"/>
            <w:tcBorders>
              <w:top w:val="nil"/>
              <w:left w:val="nil"/>
              <w:bottom w:val="nil"/>
              <w:right w:val="nil"/>
            </w:tcBorders>
            <w:vAlign w:val="center"/>
          </w:tcPr>
          <w:p w14:paraId="06EB9F5D" w14:textId="77777777" w:rsidR="00DC087A" w:rsidRDefault="00000000">
            <w:pPr>
              <w:spacing w:before="40" w:after="40" w:line="276" w:lineRule="auto"/>
              <w:jc w:val="center"/>
              <w:rPr>
                <w:rFonts w:hint="eastAsia"/>
              </w:rPr>
            </w:pPr>
            <w:r>
              <w:rPr>
                <w:rFonts w:ascii="Times New Roman" w:hAnsi="Times New Roman" w:cs="Times New Roman"/>
              </w:rPr>
              <w:t>7</w:t>
            </w:r>
          </w:p>
        </w:tc>
        <w:tc>
          <w:tcPr>
            <w:tcW w:w="4284" w:type="pct"/>
            <w:tcBorders>
              <w:top w:val="nil"/>
              <w:left w:val="nil"/>
              <w:bottom w:val="nil"/>
              <w:right w:val="nil"/>
            </w:tcBorders>
            <w:vAlign w:val="center"/>
          </w:tcPr>
          <w:p w14:paraId="6FAD09C7" w14:textId="77777777" w:rsidR="00DC087A" w:rsidRDefault="00000000">
            <w:pPr>
              <w:spacing w:before="40" w:after="40" w:line="276" w:lineRule="auto"/>
              <w:jc w:val="left"/>
              <w:rPr>
                <w:rFonts w:hint="eastAsia"/>
              </w:rPr>
            </w:pPr>
            <w:r>
              <w:rPr>
                <w:rFonts w:ascii="Times New Roman" w:hAnsi="Times New Roman" w:cs="Times New Roman"/>
              </w:rPr>
              <w:t xml:space="preserve">候选解释卡片，分列结构效应、跨模型支持、剂量响应、有效独立人数、覆盖与外部证据</w:t>
            </w:r>
          </w:p>
        </w:tc>
      </w:tr>
      <w:tr w:rsidR="00DC087A" w14:paraId="35C3E8BE" w14:textId="77777777">
        <w:trPr>
          <w:trHeight w:val="567"/>
          <w:cantSplit/>
        </w:trPr>
        <w:tc>
          <w:tcPr>
            <w:tcW w:w="715" w:type="pct"/>
            <w:tcBorders>
              <w:top w:val="nil"/>
              <w:left w:val="nil"/>
              <w:bottom w:val="single" w:sz="2" w:space="0" w:color="000000"/>
              <w:right w:val="nil"/>
            </w:tcBorders>
            <w:vAlign w:val="center"/>
          </w:tcPr>
          <w:p w14:paraId="1821D32A" w14:textId="77777777" w:rsidR="00DC087A" w:rsidRDefault="00000000">
            <w:pPr>
              <w:spacing w:before="40" w:after="40" w:line="276" w:lineRule="auto"/>
              <w:jc w:val="center"/>
              <w:rPr>
                <w:rFonts w:hint="eastAsia"/>
              </w:rPr>
            </w:pPr>
            <w:r>
              <w:rPr>
                <w:rFonts w:ascii="Times New Roman" w:hAnsi="Times New Roman" w:cs="Times New Roman"/>
              </w:rPr>
              <w:t>8</w:t>
            </w:r>
          </w:p>
        </w:tc>
        <w:tc>
          <w:tcPr>
            <w:tcW w:w="4284" w:type="pct"/>
            <w:tcBorders>
              <w:top w:val="nil"/>
              <w:left w:val="nil"/>
              <w:bottom w:val="single" w:sz="2" w:space="0" w:color="000000"/>
              <w:right w:val="nil"/>
            </w:tcBorders>
            <w:vAlign w:val="center"/>
          </w:tcPr>
          <w:p w14:paraId="2F07082B" w14:textId="77777777" w:rsidR="00DC087A" w:rsidRDefault="00000000">
            <w:pPr>
              <w:spacing w:before="40" w:after="40" w:line="276" w:lineRule="auto"/>
              <w:jc w:val="left"/>
              <w:rPr>
                <w:rFonts w:hint="eastAsia"/>
              </w:rPr>
            </w:pPr>
            <w:r>
              <w:rPr>
                <w:rFonts w:ascii="Times New Roman" w:hAnsi="Times New Roman" w:cs="Times New Roman"/>
              </w:rPr>
              <w:t xml:space="preserve">结构与响应热图、逐 Outcome 排名、剂量曲线、患者响应分布、稳定性和覆盖率图及富集图</w:t>
            </w:r>
          </w:p>
        </w:tc>
      </w:tr>
    </w:tbl>
    <w:p w14:paraId="0E884C7D" w14:textId="77777777" w:rsidR="00DC087A" w:rsidRDefault="00000000">
      <w:pPr>
        <w:pStyle w:val="1"/>
        <w:jc w:val="center"/>
        <w:rPr>
          <w:rFonts w:hint="eastAsia"/>
        </w:rPr>
        <w:keepNext w:val="1"/>
      </w:pPr>
      <w:r>
        <w:lastRenderedPageBreak/>
        <w:t>七、研究边界与局限性声明</w:t>
      </w:r>
    </w:p>
    <w:p w14:paraId="6FB965F6" w14:textId="77777777" w:rsidR="00DC087A" w:rsidRDefault="00000000">
      <w:pPr>
        <w:spacing w:line="360" w:lineRule="auto"/>
        <w:ind w:firstLine="480"/>
        <w:rPr>
          <w:rFonts w:hint="eastAsia"/>
        </w:rPr>
        <w:widowControl w:val="1"/>
      </w:pPr>
      <w:r>
        <w:rPr>
          <w:rFonts w:ascii="Times New Roman" w:hAnsi="Times New Roman" w:cs="Times New Roman"/>
        </w:rPr>
        <w:t xml:space="preserve">本方案将模型结构投影与受控输入扰动连接为候选分子评价流程，所有结论均结合评估队列、统计假设和生物学验证解释，其边界如下：</w:t>
      </w:r>
    </w:p>
    <w:p w14:paraId="029FB30A" w14:textId="77777777" w:rsidR="00DC087A" w:rsidRDefault="00000000">
      <w:pPr>
        <w:spacing w:line="360" w:lineRule="auto"/>
        <w:rPr>
          <w:rFonts w:hint="eastAsia"/>
        </w:rPr>
        <w:widowControl w:val="1"/>
      </w:pPr>
      <w:r>
        <w:rPr>
          <w:rFonts w:ascii="Times New Roman" w:hAnsi="Times New Roman" w:cs="Times New Roman"/>
        </w:rPr>
        <w:t xml:space="preserve">1. 结构投影的解释边界：G=D A Dᵀ 与 G_T=D[(I−A)⁻¹−I]Dᵀ 是潜变量结构经解码权重得到的投影，不等于真实分子网络，也不等于对输入特征的完整预测导数。Dᵀ 不保证为编码器逆映射，二分类投影处于 logit 尺度；潜变量子块 DAG 惩罚不保证全图无环。</w:t>
      </w:r>
    </w:p>
    <w:p w14:paraId="7378B65C" w14:textId="77777777" w:rsidR="00DC087A" w:rsidRDefault="00000000">
      <w:pPr>
        <w:spacing w:line="360" w:lineRule="auto"/>
        <w:rPr>
          <w:rFonts w:hint="eastAsia"/>
        </w:rPr>
        <w:widowControl w:val="1"/>
      </w:pPr>
      <w:r>
        <w:rPr>
          <w:rFonts w:ascii="Times New Roman" w:hAnsi="Times New Roman" w:cs="Times New Roman"/>
        </w:rPr>
        <w:t xml:space="preserve">2. 扰动与验证的边界：重新编码特征位移反映模型输入敏感性，不能直接等同于真实治疗干预、严格个体反事实或 ATE。实验必须控制推断随机性并使用匹配基线，将结构投影、预测响应及独立验证证据分别呈现；不能以计划数据、重复采样或增强样本替代独立受试者证据。</w:t>
      </w:r>
    </w:p>
    <w:p w14:paraId="161426CC" w14:textId="77777777" w:rsidR="00DC087A" w:rsidRDefault="00000000">
      <w:pPr>
        <w:spacing w:line="360" w:lineRule="auto"/>
        <w:rPr>
          <w:rFonts w:hint="eastAsia"/>
        </w:rPr>
        <w:widowControl w:val="1"/>
      </w:pPr>
      <w:r>
        <w:rPr>
          <w:rFonts w:ascii="Times New Roman" w:hAnsi="Times New Roman" w:cs="Times New Roman"/>
        </w:rPr>
        <w:t xml:space="preserve">3. 数据与溯源约束：观察性数据存在混杂与缺失风险；1950 行含增强记录，不能作为独立人数。划分前全局标准化、增强副本跨集合及预训练与联合训练队列重叠限制现有验证。后续正式验证应按原始受试者分组划分、仅用训练集拟合预处理，并保留各阶段 EID、seed 和文件哈希；历史缺失项须由真实记录恢复。</w:t>
      </w:r>
    </w:p>
    <w:p w14:paraId="5CC541A8" w14:textId="77777777" w:rsidR="00DC087A" w:rsidRDefault="00000000">
      <w:pPr>
        <w:spacing w:line="360" w:lineRule="auto"/>
        <w:ind w:firstLine="480"/>
        <w:rPr>
          <w:rFonts w:hint="eastAsia"/>
        </w:rPr>
        <w:widowControl w:val="1"/>
      </w:pPr>
      <w:r>
        <w:rPr>
          <w:rFonts w:ascii="Times New Roman" w:hAnsi="Times New Roman" w:cs="Times New Roman"/>
        </w:rPr>
        <w:t xml:space="preserve">因此，当前结果应定义为“面向 ACLF 相关研究的结构启发候选”，通过后续扰动与外部验证后才可形成优先实验清单；现阶段不能宣称发现了已验证的 ACLF biomarker 或治疗靶点。</w:t>
      </w:r>
    </w:p>
    <w:p w14:paraId="2084BF1C" w14:textId="77777777" w:rsidR="00DC087A" w:rsidRDefault="00000000">
      <w:pPr>
        <w:spacing w:line="360" w:lineRule="auto"/>
        <w:ind w:firstLine="480"/>
        <w:rPr>
          <w:rFonts w:hint="eastAsia"/>
        </w:rPr>
        <w:widowControl w:val="1"/>
      </w:pPr>
      <w:r>
        <w:rPr>
          <w:rFonts w:ascii="Times New Roman" w:hAnsi="Times New Roman" w:cs="Times New Roman"/>
        </w:rPr>
        <w:t xml:space="preserve">完整流程以分子编码、患者键和版本哈希关联候选注册、队列与剂量、配对推断及统计评价，形成可追溯的优先清单，再以独立队列、功能实验和临床研究检验其可推广性。</w:t>
      </w:r>
    </w:p>
    <w:sectPr w:rsidR="00DC087A">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B51E2"/>
    <w:multiLevelType w:val="singleLevel"/>
    <w:tmpl w:val="58AB51E2"/>
    <w:lvl w:ilvl="0">
      <w:start w:val="1"/>
      <w:numFmt w:val="decimal"/>
      <w:lvlText w:val="%1."/>
      <w:lvlJc w:val="left"/>
      <w:pPr>
        <w:tabs>
          <w:tab w:val="left" w:pos="420"/>
        </w:tabs>
        <w:ind w:left="0" w:firstLine="0"/>
      </w:pPr>
      <w:rPr>
        <w:rFonts w:hint="default"/>
      </w:rPr>
    </w:lvl>
  </w:abstractNum>
  <w:num w:numId="1" w16cid:durableId="1977954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87A"/>
    <w:rsid w:val="002163ED"/>
    <w:rsid w:val="003E2747"/>
    <w:rsid w:val="007303EA"/>
    <w:rsid w:val="00AA377E"/>
    <w:rsid w:val="00C54006"/>
    <w:rsid w:val="00CB1841"/>
    <w:rsid w:val="00CF7AB9"/>
    <w:rsid w:val="00DC087A"/>
    <w:rsid w:val="00FB7DAB"/>
    <w:rsid w:val="7B896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C983F"/>
  <w15:docId w15:val="{D7EE6626-FCF5-442A-8340-62CC2D2D2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cs="宋体"/>
      <w:sz w:val="24"/>
      <w:szCs w:val="24"/>
    </w:rPr>
  </w:style>
  <w:style w:type="paragraph" w:styleId="1">
    <w:name w:val="heading 1"/>
    <w:next w:val="a"/>
    <w:qFormat/>
    <w:pPr>
      <w:spacing w:before="400" w:after="200" w:line="360" w:lineRule="auto"/>
      <w:outlineLvl w:val="0"/>
    </w:pPr>
    <w:rPr>
      <w:rFonts w:ascii="黑体" w:eastAsia="黑体" w:hAnsi="黑体" w:cs="黑体"/>
      <w:b/>
      <w:bCs/>
      <w:color w:val="2F5597"/>
      <w:sz w:val="32"/>
      <w:szCs w:val="32"/>
    </w:rPr>
  </w:style>
  <w:style w:type="paragraph" w:styleId="2">
    <w:name w:val="heading 2"/>
    <w:next w:val="a"/>
    <w:qFormat/>
    <w:pPr>
      <w:spacing w:before="280" w:after="140" w:line="360" w:lineRule="auto"/>
      <w:outlineLvl w:val="1"/>
    </w:pPr>
    <w:rPr>
      <w:rFonts w:ascii="黑体" w:eastAsia="黑体" w:hAnsi="黑体" w:cs="黑体"/>
      <w:b/>
      <w:bCs/>
      <w:color w:val="2F5597"/>
      <w:sz w:val="28"/>
      <w:szCs w:val="28"/>
    </w:rPr>
  </w:style>
  <w:style w:type="paragraph" w:styleId="3">
    <w:name w:val="heading 3"/>
    <w:next w:val="a"/>
    <w:qFormat/>
    <w:pPr>
      <w:spacing w:before="200" w:after="100" w:line="360" w:lineRule="auto"/>
      <w:outlineLvl w:val="2"/>
    </w:pPr>
    <w:rPr>
      <w:rFonts w:ascii="黑体" w:eastAsia="黑体" w:hAnsi="黑体" w:cs="黑体"/>
      <w:b/>
      <w:bCs/>
      <w:color w:val="2F5597"/>
      <w:sz w:val="26"/>
      <w:szCs w:val="26"/>
    </w:rPr>
  </w:style>
  <w:style w:type="paragraph" w:styleId="4">
    <w:name w:val="heading 4"/>
    <w:next w:val="a"/>
    <w:qFormat/>
    <w:pPr>
      <w:outlineLvl w:val="3"/>
    </w:pPr>
    <w:rPr>
      <w:rFonts w:ascii="宋体" w:hAnsi="宋体" w:cs="宋体"/>
      <w:i/>
      <w:iCs/>
      <w:color w:val="2E74B5"/>
      <w:sz w:val="24"/>
      <w:szCs w:val="24"/>
    </w:rPr>
  </w:style>
  <w:style w:type="paragraph" w:styleId="5">
    <w:name w:val="heading 5"/>
    <w:next w:val="a"/>
    <w:qFormat/>
    <w:pPr>
      <w:outlineLvl w:val="4"/>
    </w:pPr>
    <w:rPr>
      <w:rFonts w:ascii="宋体" w:hAnsi="宋体" w:cs="宋体"/>
      <w:color w:val="2E74B5"/>
      <w:sz w:val="24"/>
      <w:szCs w:val="24"/>
    </w:rPr>
  </w:style>
  <w:style w:type="paragraph" w:styleId="6">
    <w:name w:val="heading 6"/>
    <w:next w:val="a"/>
    <w:qFormat/>
    <w:pPr>
      <w:outlineLvl w:val="5"/>
    </w:pPr>
    <w:rPr>
      <w:rFonts w:ascii="宋体" w:hAnsi="宋体" w:cs="宋体"/>
      <w:color w:val="1F4D78"/>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rPr>
      <w:rFonts w:ascii="宋体" w:hAnsi="宋体" w:cs="宋体"/>
    </w:rPr>
  </w:style>
  <w:style w:type="paragraph" w:styleId="a5">
    <w:name w:val="footnote text"/>
    <w:link w:val="a6"/>
    <w:uiPriority w:val="99"/>
    <w:semiHidden/>
    <w:unhideWhenUsed/>
    <w:rPr>
      <w:rFonts w:ascii="宋体" w:hAnsi="宋体" w:cs="宋体"/>
    </w:rPr>
  </w:style>
  <w:style w:type="paragraph" w:styleId="a7">
    <w:name w:val="Normal (Web)"/>
    <w:basedOn w:val="a"/>
    <w:pPr>
      <w:spacing w:beforeAutospacing="1" w:afterAutospacing="1"/>
      <w:jc w:val="left"/>
    </w:pPr>
    <w:rPr>
      <w:rFonts w:cs="Times New Roman"/>
    </w:rPr>
  </w:style>
  <w:style w:type="paragraph" w:styleId="a8">
    <w:name w:val="Title"/>
    <w:qFormat/>
    <w:rPr>
      <w:rFonts w:ascii="宋体" w:hAnsi="宋体" w:cs="宋体"/>
      <w:sz w:val="56"/>
      <w:szCs w:val="56"/>
    </w:rPr>
  </w:style>
  <w:style w:type="character" w:styleId="a9">
    <w:name w:val="endnote reference"/>
    <w:uiPriority w:val="99"/>
    <w:semiHidden/>
    <w:unhideWhenUsed/>
    <w:rPr>
      <w:vertAlign w:val="superscript"/>
    </w:rPr>
  </w:style>
  <w:style w:type="character" w:styleId="aa">
    <w:name w:val="Hyperlink"/>
    <w:uiPriority w:val="99"/>
    <w:unhideWhenUsed/>
    <w:rPr>
      <w:color w:val="0563C1"/>
      <w:u w:val="single"/>
    </w:rPr>
  </w:style>
  <w:style w:type="character" w:styleId="ab">
    <w:name w:val="footnote reference"/>
    <w:uiPriority w:val="99"/>
    <w:semiHidden/>
    <w:unhideWhenUsed/>
    <w:rPr>
      <w:vertAlign w:val="superscript"/>
    </w:rPr>
  </w:style>
  <w:style w:type="paragraph" w:styleId="ac">
    <w:name w:val="List Paragraph"/>
    <w:qFormat/>
    <w:rPr>
      <w:rFonts w:ascii="宋体" w:hAnsi="宋体" w:cs="宋体"/>
      <w:sz w:val="24"/>
      <w:szCs w:val="24"/>
    </w:rPr>
  </w:style>
  <w:style w:type="character" w:customStyle="1" w:styleId="a6">
    <w:name w:val="脚注文本 字符"/>
    <w:link w:val="a5"/>
    <w:uiPriority w:val="99"/>
    <w:semiHidden/>
    <w:unhideWhenUsed/>
    <w:rPr>
      <w:sz w:val="20"/>
      <w:szCs w:val="20"/>
    </w:rPr>
  </w:style>
  <w:style w:type="character" w:customStyle="1" w:styleId="a4">
    <w:name w:val="尾注文本 字符"/>
    <w:link w:val="a3"/>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438</TotalTime>
  <Pages>9</Pages>
  <Words>1052</Words>
  <Characters>5999</Characters>
  <Application>Microsoft Office Word</Application>
  <DocSecurity>0</DocSecurity>
  <Lines>49</Lines>
  <Paragraphs>14</Paragraphs>
  <ScaleCrop>false</ScaleCrop>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胡韬 陈</cp:lastModifiedBy>
  <cp:revision>5</cp:revision>
  <dcterms:created xsi:type="dcterms:W3CDTF">2026-05-29T01:53:00Z</dcterms:created>
  <dcterms:modified xsi:type="dcterms:W3CDTF">2026-09-05T07:50:00Z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3f65d8105b0111f18000335300003353">
    <vt:lpwstr>CWMI3ksKoLFNHGZR79Qv01d72C3MqfKX1mjjM0l1Rz8WjXaAhlJfyc2LuSamwRADo/Ly/XIakoBEQvjHhuawnjm3w==</vt:lpwstr>
  </property>
  <property fmtid="{D5CDD505-2E9C-101B-9397-08002B2CF9AE}" pid="3" name="KSOProductBuildVer">
    <vt:lpwstr>2052-12.8.2.21555</vt:lpwstr>
  </property>
  <property fmtid="{D5CDD505-2E9C-101B-9397-08002B2CF9AE}" pid="4" name="ICV">
    <vt:lpwstr>A2F1D926AF5B4319918EDE3268834B2F_12</vt:lpwstr>
  </property>
</Properties>
</file>