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7F459" w14:textId="77777777" w:rsidR="00EA25D5" w:rsidRDefault="00000000" w:rsidP="003C1746">
      <w:pPr>
        <w:spacing w:after="0" w:line="360" w:lineRule="auto"/>
        <w:jc w:val="both"/>
        <w:outlineLvl w:val="0"/>
        <w:rPr>
          <w:rFonts w:ascii="Times New Roman" w:eastAsia="宋体" w:hAnsi="Times New Roman" w:cs="Times New Roman"/>
          <w:b/>
          <w:bCs/>
          <w:sz w:val="24"/>
        </w:rPr>
      </w:pPr>
      <w:r>
        <w:rPr>
          <w:rFonts w:ascii="Times New Roman" w:eastAsia="宋体" w:hAnsi="Times New Roman" w:cs="Times New Roman"/>
          <w:b/>
          <w:bCs/>
          <w:sz w:val="24"/>
        </w:rPr>
        <w:t>研究背景和意义</w:t>
      </w:r>
    </w:p>
    <w:p w14:paraId="7095B586" w14:textId="77777777" w:rsidR="00EA25D5" w:rsidRDefault="00000000" w:rsidP="003C1746">
      <w:pPr>
        <w:spacing w:after="0" w:line="360" w:lineRule="auto"/>
        <w:ind w:firstLineChars="200" w:firstLine="482"/>
        <w:jc w:val="both"/>
        <w:rPr>
          <w:rFonts w:ascii="Times New Roman" w:eastAsia="宋体" w:hAnsi="Times New Roman" w:cs="Times New Roman"/>
          <w:sz w:val="24"/>
        </w:rPr>
      </w:pPr>
      <w:r>
        <w:rPr>
          <w:rFonts w:ascii="Times New Roman" w:eastAsia="宋体" w:hAnsi="Times New Roman" w:cs="Times New Roman"/>
          <w:b/>
          <w:bCs/>
          <w:sz w:val="24"/>
        </w:rPr>
        <w:t>慢加急性肝衰竭</w:t>
      </w:r>
      <w:r>
        <w:rPr>
          <w:rFonts w:ascii="Times New Roman" w:eastAsia="宋体" w:hAnsi="Times New Roman" w:cs="Times New Roman"/>
          <w:sz w:val="24"/>
        </w:rPr>
        <w:t>（</w:t>
      </w:r>
      <w:r>
        <w:rPr>
          <w:rFonts w:ascii="Times New Roman" w:eastAsia="宋体" w:hAnsi="Times New Roman" w:cs="Times New Roman"/>
          <w:sz w:val="24"/>
        </w:rPr>
        <w:t>acute-on-chronic liver failure, ACLF</w:t>
      </w:r>
      <w:r>
        <w:rPr>
          <w:rFonts w:ascii="Times New Roman" w:eastAsia="宋体" w:hAnsi="Times New Roman" w:cs="Times New Roman"/>
          <w:sz w:val="24"/>
        </w:rPr>
        <w:t>），是一类病情进展迅速、短期病死率高、临床处置难度大的严重综合征。其主要特点是在慢性肝病基础上受到急性诱因打击后，机体迅速出现全身炎症反应失衡、肝功能急剧失代偿以及多器官功能障碍。与一般慢性肝病进展不同，肝衰竭的危险性不仅体现在肝脏损伤程度本身，更体现在疾病会在较短时间内跨越代偿与失代偿边界，进入系统性恶化阶段。因此，阐明肝衰竭快速进展的关键驱动机制，是提升早期识别能力和优化干预策略的核心前提。</w:t>
      </w:r>
    </w:p>
    <w:p w14:paraId="3A61C28D" w14:textId="77777777" w:rsidR="00EA25D5" w:rsidRDefault="00000000" w:rsidP="003C1746">
      <w:pPr>
        <w:pStyle w:val="a9"/>
        <w:widowControl/>
        <w:spacing w:beforeAutospacing="0" w:afterAutospacing="0" w:line="360" w:lineRule="auto"/>
        <w:ind w:firstLineChars="200" w:firstLine="480"/>
        <w:jc w:val="both"/>
        <w:rPr>
          <w:rFonts w:ascii="Times New Roman" w:eastAsia="宋体" w:hAnsi="Times New Roman"/>
        </w:rPr>
      </w:pPr>
      <w:r>
        <w:rPr>
          <w:rFonts w:ascii="Times New Roman" w:eastAsia="宋体" w:hAnsi="Times New Roman"/>
        </w:rPr>
        <w:t>现有研究表明，</w:t>
      </w:r>
      <w:r>
        <w:rPr>
          <w:rFonts w:ascii="Times New Roman" w:eastAsia="宋体" w:hAnsi="Times New Roman"/>
          <w:b/>
          <w:bCs/>
        </w:rPr>
        <w:t>细胞因子风暴</w:t>
      </w:r>
      <w:r>
        <w:rPr>
          <w:rFonts w:ascii="Times New Roman" w:eastAsia="宋体" w:hAnsi="Times New Roman"/>
        </w:rPr>
        <w:t>是推动肝衰竭恶化的重要病理基础之一。其本质并非单一炎症因子的异常升高，而是由免疫激活失控所触发的级联放大过程：上游炎症刺激诱导多种细胞因子持续释放，进一步破坏免疫稳态，并通过内皮损伤、凝血失衡、代谢紊乱和器官间串扰等途径，引发系统性病理反应，最终导致肝功能衰竭及多器官损害。由此可见，肝衰竭中的细胞因子风暴具有显著的系统性、动态性和层级性，其机制不能被简化为若干孤立指标的波动，而应被理解为一个跨通路、跨层级、跨器官过程的复杂网络失衡。</w:t>
      </w:r>
    </w:p>
    <w:p w14:paraId="53717237" w14:textId="77777777" w:rsidR="00EA25D5" w:rsidRDefault="00000000" w:rsidP="003C1746">
      <w:pPr>
        <w:pStyle w:val="a9"/>
        <w:widowControl/>
        <w:spacing w:beforeAutospacing="0" w:afterAutospacing="0" w:line="360" w:lineRule="auto"/>
        <w:ind w:firstLineChars="200" w:firstLine="480"/>
        <w:jc w:val="both"/>
        <w:rPr>
          <w:rFonts w:ascii="Times New Roman" w:eastAsia="宋体" w:hAnsi="Times New Roman"/>
        </w:rPr>
      </w:pPr>
      <w:r>
        <w:rPr>
          <w:rFonts w:ascii="Times New Roman" w:eastAsia="宋体" w:hAnsi="Times New Roman"/>
        </w:rPr>
        <w:t>在临床实践中，肝衰竭的评估主要依赖生化指标、器官功能评分及短期预后模型，如</w:t>
      </w:r>
      <w:r>
        <w:rPr>
          <w:rFonts w:ascii="Times New Roman" w:eastAsia="宋体" w:hAnsi="Times New Roman"/>
        </w:rPr>
        <w:t>MELD,CLIF-C</w:t>
      </w:r>
      <w:r>
        <w:rPr>
          <w:rFonts w:ascii="Times New Roman" w:eastAsia="宋体" w:hAnsi="Times New Roman"/>
        </w:rPr>
        <w:t>。这类方法能够在一定程度上反映疾病严重程度和死亡风险，但本质上仍属于结局导向的统计评估工具，更擅长回答</w:t>
      </w:r>
      <w:r>
        <w:rPr>
          <w:rFonts w:ascii="Times New Roman" w:eastAsia="宋体" w:hAnsi="Times New Roman"/>
        </w:rPr>
        <w:t>“</w:t>
      </w:r>
      <w:r>
        <w:rPr>
          <w:rFonts w:ascii="Times New Roman" w:eastAsia="宋体" w:hAnsi="Times New Roman"/>
        </w:rPr>
        <w:t>患者当前处于何种危险水平</w:t>
      </w:r>
      <w:r>
        <w:rPr>
          <w:rFonts w:ascii="Times New Roman" w:eastAsia="宋体" w:hAnsi="Times New Roman"/>
        </w:rPr>
        <w:t>”</w:t>
      </w:r>
      <w:r>
        <w:rPr>
          <w:rFonts w:ascii="Times New Roman" w:eastAsia="宋体" w:hAnsi="Times New Roman"/>
        </w:rPr>
        <w:t>，而难以回答</w:t>
      </w:r>
      <w:r>
        <w:rPr>
          <w:rFonts w:ascii="Times New Roman" w:eastAsia="宋体" w:hAnsi="Times New Roman"/>
        </w:rPr>
        <w:t>“</w:t>
      </w:r>
      <w:r>
        <w:rPr>
          <w:rFonts w:ascii="Times New Roman" w:eastAsia="宋体" w:hAnsi="Times New Roman"/>
        </w:rPr>
        <w:t>哪些分子过程正在驱动疾病恶化</w:t>
      </w:r>
      <w:r>
        <w:rPr>
          <w:rFonts w:ascii="Times New Roman" w:eastAsia="宋体" w:hAnsi="Times New Roman"/>
        </w:rPr>
        <w:t>”</w:t>
      </w:r>
      <w:r>
        <w:rPr>
          <w:rFonts w:ascii="Times New Roman" w:eastAsia="宋体" w:hAnsi="Times New Roman"/>
        </w:rPr>
        <w:t>以及</w:t>
      </w:r>
      <w:r>
        <w:rPr>
          <w:rFonts w:ascii="Times New Roman" w:eastAsia="宋体" w:hAnsi="Times New Roman"/>
        </w:rPr>
        <w:t>“</w:t>
      </w:r>
      <w:r>
        <w:rPr>
          <w:rFonts w:ascii="Times New Roman" w:eastAsia="宋体" w:hAnsi="Times New Roman"/>
        </w:rPr>
        <w:t>哪些关键环节构成潜在干预靶点</w:t>
      </w:r>
      <w:r>
        <w:rPr>
          <w:rFonts w:ascii="Times New Roman" w:eastAsia="宋体" w:hAnsi="Times New Roman"/>
        </w:rPr>
        <w:t>”</w:t>
      </w:r>
      <w:r>
        <w:rPr>
          <w:rFonts w:ascii="Times New Roman" w:eastAsia="宋体" w:hAnsi="Times New Roman"/>
        </w:rPr>
        <w:t>。因此，肝衰竭研究长期面临一个突出矛盾：</w:t>
      </w:r>
      <w:r>
        <w:rPr>
          <w:rFonts w:ascii="Times New Roman" w:eastAsia="宋体" w:hAnsi="Times New Roman"/>
          <w:b/>
          <w:bCs/>
        </w:rPr>
        <w:t>临床</w:t>
      </w:r>
      <w:r>
        <w:rPr>
          <w:rFonts w:ascii="Times New Roman" w:eastAsia="宋体" w:hAnsi="Times New Roman"/>
        </w:rPr>
        <w:t>上需要机制导向的精细化识别与干预，而</w:t>
      </w:r>
      <w:r>
        <w:rPr>
          <w:rFonts w:ascii="Times New Roman" w:eastAsia="宋体" w:hAnsi="Times New Roman"/>
          <w:b/>
          <w:bCs/>
        </w:rPr>
        <w:t>方法</w:t>
      </w:r>
      <w:r>
        <w:rPr>
          <w:rFonts w:ascii="Times New Roman" w:eastAsia="宋体" w:hAnsi="Times New Roman"/>
        </w:rPr>
        <w:t>上往往只能获得相关性层面的描述性结论，难以进一步逼近真实病理驱动链条。</w:t>
      </w:r>
    </w:p>
    <w:p w14:paraId="42377D66" w14:textId="77777777" w:rsidR="00EA25D5" w:rsidRDefault="00000000" w:rsidP="003C1746">
      <w:pPr>
        <w:pStyle w:val="a9"/>
        <w:widowControl/>
        <w:spacing w:beforeAutospacing="0" w:afterAutospacing="0" w:line="360" w:lineRule="auto"/>
        <w:ind w:firstLineChars="200" w:firstLine="480"/>
        <w:jc w:val="both"/>
        <w:rPr>
          <w:rFonts w:ascii="Times New Roman" w:eastAsia="宋体" w:hAnsi="Times New Roman"/>
        </w:rPr>
      </w:pPr>
      <w:r>
        <w:rPr>
          <w:rFonts w:ascii="Times New Roman" w:eastAsia="宋体" w:hAnsi="Times New Roman"/>
        </w:rPr>
        <w:t>这一矛盾在细胞因子风暴研究中表现得尤为明显。肝衰竭相关的免疫失衡并不是单模态生物过程。临床变量更多反映器官损伤和系统状态，蛋白组更接近炎症介质、受体信号及免疫调控网络，代谢组则能够刻画炎症放大后所伴随的能量代谢重编程和代谢稳态崩溃。</w:t>
      </w:r>
      <w:r>
        <w:rPr>
          <w:rFonts w:ascii="Times New Roman" w:eastAsia="宋体" w:hAnsi="Times New Roman"/>
          <w:b/>
          <w:bCs/>
        </w:rPr>
        <w:t>单一模态</w:t>
      </w:r>
      <w:r>
        <w:rPr>
          <w:rFonts w:ascii="Times New Roman" w:eastAsia="宋体" w:hAnsi="Times New Roman"/>
        </w:rPr>
        <w:t>通常只能捕捉疾病过程的一个侧面，难以完整揭示</w:t>
      </w:r>
      <w:r>
        <w:rPr>
          <w:rFonts w:ascii="Times New Roman" w:eastAsia="宋体" w:hAnsi="Times New Roman"/>
        </w:rPr>
        <w:t>“</w:t>
      </w:r>
      <w:r>
        <w:rPr>
          <w:rFonts w:ascii="Times New Roman" w:eastAsia="宋体" w:hAnsi="Times New Roman"/>
        </w:rPr>
        <w:t>上游炎症触发</w:t>
      </w:r>
      <w:r>
        <w:rPr>
          <w:rFonts w:ascii="Times New Roman" w:eastAsia="宋体" w:hAnsi="Times New Roman"/>
        </w:rPr>
        <w:t>—</w:t>
      </w:r>
      <w:r>
        <w:rPr>
          <w:rFonts w:ascii="Times New Roman" w:eastAsia="宋体" w:hAnsi="Times New Roman"/>
        </w:rPr>
        <w:t>中游信号放大</w:t>
      </w:r>
      <w:r>
        <w:rPr>
          <w:rFonts w:ascii="Times New Roman" w:eastAsia="宋体" w:hAnsi="Times New Roman"/>
        </w:rPr>
        <w:t>—</w:t>
      </w:r>
      <w:r>
        <w:rPr>
          <w:rFonts w:ascii="Times New Roman" w:eastAsia="宋体" w:hAnsi="Times New Roman"/>
        </w:rPr>
        <w:t>下游代谢紊乱与器官损伤</w:t>
      </w:r>
      <w:r>
        <w:rPr>
          <w:rFonts w:ascii="Times New Roman" w:eastAsia="宋体" w:hAnsi="Times New Roman"/>
        </w:rPr>
        <w:t>”</w:t>
      </w:r>
      <w:r>
        <w:rPr>
          <w:rFonts w:ascii="Times New Roman" w:eastAsia="宋体" w:hAnsi="Times New Roman"/>
        </w:rPr>
        <w:t>的连续机制链条。</w:t>
      </w:r>
    </w:p>
    <w:p w14:paraId="65D28E97" w14:textId="77777777" w:rsidR="00EA25D5" w:rsidRDefault="00000000" w:rsidP="003C1746">
      <w:pPr>
        <w:pStyle w:val="a9"/>
        <w:widowControl/>
        <w:spacing w:beforeAutospacing="0" w:afterAutospacing="0" w:line="360" w:lineRule="auto"/>
        <w:ind w:firstLineChars="200" w:firstLine="482"/>
        <w:jc w:val="both"/>
        <w:rPr>
          <w:rFonts w:ascii="Times New Roman" w:eastAsia="宋体" w:hAnsi="Times New Roman"/>
        </w:rPr>
      </w:pPr>
      <w:r>
        <w:rPr>
          <w:rFonts w:ascii="Times New Roman" w:eastAsia="宋体" w:hAnsi="Times New Roman"/>
          <w:b/>
          <w:bCs/>
        </w:rPr>
        <w:t>多模态数据</w:t>
      </w:r>
      <w:r>
        <w:rPr>
          <w:rFonts w:ascii="Times New Roman" w:eastAsia="宋体" w:hAnsi="Times New Roman"/>
        </w:rPr>
        <w:t>为从多个分子层次联合刻画肝衰竭细胞因子风暴，其意义并不在于简单增加变量数量和维度，而在于为解析肝衰竭细胞因子风暴这一复杂系统性过程提供了跨层次、跨通路的整体观测基础，也为后续开展跨模态耦合关系建模和潜在驱动因素识别提供了数据前提。</w:t>
      </w:r>
    </w:p>
    <w:p w14:paraId="59B51D35" w14:textId="77777777" w:rsidR="00EA25D5" w:rsidRDefault="00000000" w:rsidP="003C1746">
      <w:pPr>
        <w:pStyle w:val="a9"/>
        <w:widowControl/>
        <w:spacing w:beforeAutospacing="0" w:afterAutospacing="0" w:line="360" w:lineRule="auto"/>
        <w:ind w:firstLineChars="200" w:firstLine="480"/>
        <w:jc w:val="both"/>
        <w:rPr>
          <w:rFonts w:ascii="Times New Roman" w:eastAsia="宋体" w:hAnsi="Times New Roman"/>
        </w:rPr>
      </w:pPr>
      <w:r>
        <w:rPr>
          <w:rFonts w:ascii="Times New Roman" w:eastAsia="宋体" w:hAnsi="Times New Roman"/>
        </w:rPr>
        <w:t>然而，使用多模态数据并不天然等同于机制发现。传统统计分析和相关网络方法虽然能够揭示变量之间的共变关系，但难以区分真正的驱动因素与伴随变化的结果变量；常规深度学习模型虽然具备较强的高维表示能力，却往往侧重预测性能，缺乏清晰的因果结构解释；而经典因果推断方法在面对高维组学数据、复杂缺失模式以及跨模态关联时，又面临建模维度过高、结构约束困难和结果解释受限等问题。尤其是在肝衰竭这类异质性强、病程进展快、组学观测不完整的疾病场景中，如何同时处理</w:t>
      </w:r>
      <w:r>
        <w:rPr>
          <w:rFonts w:ascii="Times New Roman" w:eastAsia="宋体" w:hAnsi="Times New Roman"/>
          <w:b/>
          <w:bCs/>
        </w:rPr>
        <w:t>高维性</w:t>
      </w:r>
      <w:r>
        <w:rPr>
          <w:rFonts w:ascii="Times New Roman" w:eastAsia="宋体" w:hAnsi="Times New Roman"/>
        </w:rPr>
        <w:t>、</w:t>
      </w:r>
      <w:r>
        <w:rPr>
          <w:rFonts w:ascii="Times New Roman" w:eastAsia="宋体" w:hAnsi="Times New Roman"/>
          <w:b/>
          <w:bCs/>
        </w:rPr>
        <w:t>缺失性</w:t>
      </w:r>
      <w:r>
        <w:rPr>
          <w:rFonts w:ascii="Times New Roman" w:eastAsia="宋体" w:hAnsi="Times New Roman"/>
        </w:rPr>
        <w:t>、</w:t>
      </w:r>
      <w:r>
        <w:rPr>
          <w:rFonts w:ascii="Times New Roman" w:eastAsia="宋体" w:hAnsi="Times New Roman"/>
          <w:b/>
          <w:bCs/>
        </w:rPr>
        <w:t>跨模态耦合性与机制可解释性</w:t>
      </w:r>
      <w:r>
        <w:rPr>
          <w:rFonts w:ascii="Times New Roman" w:eastAsia="宋体" w:hAnsi="Times New Roman"/>
        </w:rPr>
        <w:t>，已成为开展细胞因子风暴研究的关键方法学瓶颈。</w:t>
      </w:r>
    </w:p>
    <w:p w14:paraId="142E58BE" w14:textId="77777777" w:rsidR="00EA25D5" w:rsidRDefault="00000000" w:rsidP="003C1746">
      <w:pPr>
        <w:pStyle w:val="a9"/>
        <w:widowControl/>
        <w:spacing w:beforeAutospacing="0" w:afterAutospacing="0" w:line="360" w:lineRule="auto"/>
        <w:ind w:firstLineChars="200" w:firstLine="480"/>
        <w:jc w:val="both"/>
        <w:rPr>
          <w:rFonts w:ascii="Times New Roman" w:eastAsia="宋体" w:hAnsi="Times New Roman"/>
        </w:rPr>
      </w:pPr>
      <w:r>
        <w:rPr>
          <w:rFonts w:ascii="Times New Roman" w:eastAsia="宋体" w:hAnsi="Times New Roman"/>
        </w:rPr>
        <w:t>基于此，本研究聚焦肝衰竭细胞因子风暴这一核心病理过程，尝试在</w:t>
      </w:r>
      <w:r>
        <w:rPr>
          <w:rFonts w:ascii="Times New Roman" w:eastAsia="宋体" w:hAnsi="Times New Roman"/>
          <w:b/>
          <w:bCs/>
        </w:rPr>
        <w:t>多模态数据框架下构建兼具高维建模能力与机制解释能力的因果表征模型</w:t>
      </w:r>
      <w:r>
        <w:rPr>
          <w:rFonts w:ascii="Times New Roman" w:eastAsia="宋体" w:hAnsi="Times New Roman"/>
        </w:rPr>
        <w:t>。研究目标并非停留在疾病风险预测或相关性描述层面，而是希望从临床指标、蛋白组和代谢组等多层信息中提取潜在的跨模态因果结构，进一步将潜在空间中的调控关系映射回真实生物分子层面，从而为解释肝衰竭快速恶化机制、识别关键生物标志物提供更加系统的理论依据。</w:t>
      </w:r>
    </w:p>
    <w:p w14:paraId="510F265F" w14:textId="77777777" w:rsidR="00EA25D5" w:rsidRDefault="00000000" w:rsidP="003C1746">
      <w:pPr>
        <w:spacing w:after="0" w:line="360" w:lineRule="auto"/>
        <w:jc w:val="both"/>
        <w:outlineLvl w:val="0"/>
        <w:rPr>
          <w:rFonts w:ascii="Times New Roman" w:eastAsia="宋体" w:hAnsi="Times New Roman" w:cs="Times New Roman"/>
          <w:b/>
          <w:bCs/>
          <w:sz w:val="24"/>
        </w:rPr>
      </w:pPr>
      <w:r>
        <w:rPr>
          <w:rFonts w:ascii="Times New Roman" w:eastAsia="宋体" w:hAnsi="Times New Roman" w:cs="Times New Roman"/>
          <w:b/>
          <w:bCs/>
          <w:sz w:val="24"/>
        </w:rPr>
        <w:t>科学问题</w:t>
      </w:r>
    </w:p>
    <w:p w14:paraId="4D3FF0F0" w14:textId="77777777" w:rsidR="00EA25D5" w:rsidRDefault="00000000" w:rsidP="003C1746">
      <w:pPr>
        <w:spacing w:after="0" w:line="360" w:lineRule="auto"/>
        <w:ind w:firstLineChars="200" w:firstLine="480"/>
        <w:jc w:val="both"/>
        <w:rPr>
          <w:rFonts w:ascii="Times New Roman" w:eastAsia="宋体" w:hAnsi="Times New Roman" w:cs="Times New Roman"/>
          <w:sz w:val="24"/>
        </w:rPr>
      </w:pPr>
      <w:r>
        <w:rPr>
          <w:rFonts w:ascii="Times New Roman" w:eastAsia="宋体" w:hAnsi="Times New Roman" w:cs="Times New Roman"/>
          <w:sz w:val="24"/>
        </w:rPr>
        <w:t>本研究围绕肝衰竭细胞因子风暴的发生与进展机制，聚焦以下两个核心科学问题。</w:t>
      </w:r>
    </w:p>
    <w:p w14:paraId="290B0CA4" w14:textId="77777777" w:rsidR="00EA25D5" w:rsidRDefault="00000000" w:rsidP="003C1746">
      <w:pPr>
        <w:spacing w:after="0" w:line="360" w:lineRule="auto"/>
        <w:jc w:val="both"/>
        <w:outlineLvl w:val="1"/>
        <w:rPr>
          <w:rFonts w:ascii="Times New Roman" w:eastAsia="宋体" w:hAnsi="Times New Roman" w:cs="Times New Roman"/>
          <w:b/>
          <w:bCs/>
          <w:sz w:val="24"/>
        </w:rPr>
      </w:pPr>
      <w:r>
        <w:rPr>
          <w:rFonts w:ascii="Times New Roman" w:eastAsia="宋体" w:hAnsi="Times New Roman" w:cs="Times New Roman"/>
          <w:b/>
          <w:bCs/>
          <w:sz w:val="24"/>
        </w:rPr>
        <w:t>挖掘肝衰竭细胞因子风暴在高维多模态分子层面的系统性异常结构</w:t>
      </w:r>
    </w:p>
    <w:p w14:paraId="27F0C72C" w14:textId="77777777" w:rsidR="00EA25D5" w:rsidRDefault="00000000" w:rsidP="003C1746">
      <w:pPr>
        <w:spacing w:after="0" w:line="360" w:lineRule="auto"/>
        <w:ind w:firstLineChars="200" w:firstLine="480"/>
        <w:jc w:val="both"/>
        <w:rPr>
          <w:rFonts w:ascii="Times New Roman" w:eastAsia="宋体" w:hAnsi="Times New Roman" w:cs="Times New Roman"/>
          <w:sz w:val="24"/>
        </w:rPr>
      </w:pPr>
      <w:r>
        <w:rPr>
          <w:rFonts w:ascii="Times New Roman" w:eastAsia="宋体" w:hAnsi="Times New Roman" w:cs="Times New Roman"/>
          <w:sz w:val="24"/>
        </w:rPr>
        <w:t>肝衰竭细胞因子风暴并非单一炎症指标的局部异常，而是伴随</w:t>
      </w:r>
      <w:r>
        <w:rPr>
          <w:rFonts w:ascii="Times New Roman" w:eastAsia="宋体" w:hAnsi="Times New Roman" w:cs="Times New Roman"/>
          <w:b/>
          <w:bCs/>
          <w:sz w:val="24"/>
        </w:rPr>
        <w:t>蛋白信号失衡</w:t>
      </w:r>
      <w:r>
        <w:rPr>
          <w:rFonts w:ascii="Times New Roman" w:eastAsia="宋体" w:hAnsi="Times New Roman" w:cs="Times New Roman"/>
          <w:sz w:val="24"/>
        </w:rPr>
        <w:t>、</w:t>
      </w:r>
      <w:r>
        <w:rPr>
          <w:rFonts w:ascii="Times New Roman" w:eastAsia="宋体" w:hAnsi="Times New Roman" w:cs="Times New Roman"/>
          <w:b/>
          <w:bCs/>
          <w:sz w:val="24"/>
        </w:rPr>
        <w:t>代谢重编程紊乱</w:t>
      </w:r>
      <w:r>
        <w:rPr>
          <w:rFonts w:ascii="Times New Roman" w:eastAsia="宋体" w:hAnsi="Times New Roman" w:cs="Times New Roman"/>
          <w:sz w:val="24"/>
        </w:rPr>
        <w:t>以及</w:t>
      </w:r>
      <w:r>
        <w:rPr>
          <w:rFonts w:ascii="Times New Roman" w:eastAsia="宋体" w:hAnsi="Times New Roman" w:cs="Times New Roman"/>
          <w:b/>
          <w:bCs/>
          <w:sz w:val="24"/>
        </w:rPr>
        <w:t>器官损伤表型演化</w:t>
      </w:r>
      <w:r>
        <w:rPr>
          <w:rFonts w:ascii="Times New Roman" w:eastAsia="宋体" w:hAnsi="Times New Roman" w:cs="Times New Roman"/>
          <w:sz w:val="24"/>
        </w:rPr>
        <w:t>的</w:t>
      </w:r>
      <w:r>
        <w:rPr>
          <w:rFonts w:ascii="Times New Roman" w:eastAsia="宋体" w:hAnsi="Times New Roman" w:cs="Times New Roman"/>
          <w:b/>
          <w:bCs/>
          <w:sz w:val="24"/>
        </w:rPr>
        <w:t>复杂病理</w:t>
      </w:r>
      <w:r>
        <w:rPr>
          <w:rFonts w:ascii="Times New Roman" w:eastAsia="宋体" w:hAnsi="Times New Roman" w:cs="Times New Roman"/>
          <w:sz w:val="24"/>
        </w:rPr>
        <w:t>过程。不同模态所反映的是该过程在不同生物学层次上的投影，因此，有必要在统一框架下刻画蛋白组、代谢组及相关表型信息之间的整体关联格局，识别与肝衰竭炎症放大和病情恶化密切相关的联合异常模式。该问题的核心在于从</w:t>
      </w:r>
      <w:r>
        <w:rPr>
          <w:rFonts w:ascii="Times New Roman" w:eastAsia="宋体" w:hAnsi="Times New Roman" w:cs="Times New Roman"/>
          <w:b/>
          <w:bCs/>
          <w:sz w:val="24"/>
        </w:rPr>
        <w:t>高维、复杂且存在缺失的多模态观测数据</w:t>
      </w:r>
      <w:r>
        <w:rPr>
          <w:rFonts w:ascii="Times New Roman" w:eastAsia="宋体" w:hAnsi="Times New Roman" w:cs="Times New Roman"/>
          <w:sz w:val="24"/>
        </w:rPr>
        <w:t>中提取稳定的</w:t>
      </w:r>
      <w:r>
        <w:rPr>
          <w:rFonts w:ascii="Times New Roman" w:eastAsia="宋体" w:hAnsi="Times New Roman" w:cs="Times New Roman"/>
          <w:b/>
          <w:bCs/>
          <w:sz w:val="24"/>
        </w:rPr>
        <w:t>疾病机制信号</w:t>
      </w:r>
      <w:r>
        <w:rPr>
          <w:rFonts w:ascii="Times New Roman" w:eastAsia="宋体" w:hAnsi="Times New Roman" w:cs="Times New Roman"/>
          <w:sz w:val="24"/>
        </w:rPr>
        <w:t>，并揭示细胞因子风暴所对应的</w:t>
      </w:r>
      <w:r>
        <w:rPr>
          <w:rFonts w:ascii="Times New Roman" w:eastAsia="宋体" w:hAnsi="Times New Roman" w:cs="Times New Roman"/>
          <w:b/>
          <w:bCs/>
          <w:sz w:val="24"/>
        </w:rPr>
        <w:t>跨层次分子组织形式</w:t>
      </w:r>
      <w:r>
        <w:rPr>
          <w:rFonts w:ascii="Times New Roman" w:eastAsia="宋体" w:hAnsi="Times New Roman" w:cs="Times New Roman"/>
          <w:sz w:val="24"/>
        </w:rPr>
        <w:t>。</w:t>
      </w:r>
    </w:p>
    <w:p w14:paraId="5B15A36C" w14:textId="77777777" w:rsidR="00EA25D5" w:rsidRDefault="00000000" w:rsidP="003C1746">
      <w:pPr>
        <w:spacing w:after="0" w:line="360" w:lineRule="auto"/>
        <w:jc w:val="both"/>
        <w:outlineLvl w:val="1"/>
        <w:rPr>
          <w:rFonts w:ascii="Times New Roman" w:eastAsia="宋体" w:hAnsi="Times New Roman" w:cs="Times New Roman"/>
          <w:b/>
          <w:bCs/>
          <w:sz w:val="24"/>
        </w:rPr>
      </w:pPr>
      <w:r>
        <w:rPr>
          <w:rFonts w:ascii="Times New Roman" w:eastAsia="宋体" w:hAnsi="Times New Roman" w:cs="Times New Roman"/>
          <w:b/>
          <w:bCs/>
          <w:sz w:val="24"/>
        </w:rPr>
        <w:t>识别肝衰竭细胞因子风暴中具有方向性的关键跨模态调控关系及其分子载体</w:t>
      </w:r>
    </w:p>
    <w:p w14:paraId="682B482A" w14:textId="77777777" w:rsidR="00EA25D5" w:rsidRDefault="00000000" w:rsidP="003C1746">
      <w:pPr>
        <w:spacing w:after="0" w:line="360" w:lineRule="auto"/>
        <w:ind w:firstLineChars="200" w:firstLine="480"/>
        <w:jc w:val="both"/>
        <w:rPr>
          <w:rFonts w:ascii="Times New Roman" w:eastAsia="宋体" w:hAnsi="Times New Roman" w:cs="Times New Roman"/>
          <w:sz w:val="24"/>
        </w:rPr>
      </w:pPr>
      <w:r>
        <w:rPr>
          <w:rFonts w:ascii="Times New Roman" w:eastAsia="宋体" w:hAnsi="Times New Roman" w:cs="Times New Roman"/>
          <w:sz w:val="24"/>
        </w:rPr>
        <w:t>在</w:t>
      </w:r>
      <w:r>
        <w:rPr>
          <w:rFonts w:ascii="Times New Roman" w:eastAsia="宋体" w:hAnsi="Times New Roman" w:cs="Times New Roman"/>
          <w:b/>
          <w:bCs/>
          <w:sz w:val="24"/>
        </w:rPr>
        <w:t>系统性异常结构</w:t>
      </w:r>
      <w:r>
        <w:rPr>
          <w:rFonts w:ascii="Times New Roman" w:eastAsia="宋体" w:hAnsi="Times New Roman" w:cs="Times New Roman"/>
          <w:sz w:val="24"/>
        </w:rPr>
        <w:t>的基础上，进一步需要区分不同分子变化在病理过程中所处的位置，明确哪些变化构成</w:t>
      </w:r>
      <w:r>
        <w:rPr>
          <w:rFonts w:ascii="Times New Roman" w:eastAsia="宋体" w:hAnsi="Times New Roman" w:cs="Times New Roman"/>
          <w:b/>
          <w:bCs/>
          <w:sz w:val="24"/>
        </w:rPr>
        <w:t>上游驱动因素</w:t>
      </w:r>
      <w:r>
        <w:rPr>
          <w:rFonts w:ascii="Times New Roman" w:eastAsia="宋体" w:hAnsi="Times New Roman" w:cs="Times New Roman"/>
          <w:sz w:val="24"/>
        </w:rPr>
        <w:t>，哪些变化属于</w:t>
      </w:r>
      <w:r>
        <w:rPr>
          <w:rFonts w:ascii="Times New Roman" w:eastAsia="宋体" w:hAnsi="Times New Roman" w:cs="Times New Roman"/>
          <w:b/>
          <w:bCs/>
          <w:sz w:val="24"/>
        </w:rPr>
        <w:t>下游响应结果</w:t>
      </w:r>
      <w:r>
        <w:rPr>
          <w:rFonts w:ascii="Times New Roman" w:eastAsia="宋体" w:hAnsi="Times New Roman" w:cs="Times New Roman"/>
          <w:sz w:val="24"/>
        </w:rPr>
        <w:t>，以及不同模态之间是否存在具有生物学意义的</w:t>
      </w:r>
      <w:r>
        <w:rPr>
          <w:rFonts w:ascii="Times New Roman" w:eastAsia="宋体" w:hAnsi="Times New Roman" w:cs="Times New Roman"/>
          <w:b/>
          <w:bCs/>
          <w:sz w:val="24"/>
        </w:rPr>
        <w:t>方向性耦合关系</w:t>
      </w:r>
      <w:r>
        <w:rPr>
          <w:rFonts w:ascii="Times New Roman" w:eastAsia="宋体" w:hAnsi="Times New Roman" w:cs="Times New Roman"/>
          <w:sz w:val="24"/>
        </w:rPr>
        <w:t>。该问题的关键不在于单纯描述变量之间的共变，而在于从复杂关联中提取</w:t>
      </w:r>
      <w:r>
        <w:rPr>
          <w:rFonts w:ascii="Times New Roman" w:eastAsia="宋体" w:hAnsi="Times New Roman" w:cs="Times New Roman"/>
          <w:b/>
          <w:bCs/>
          <w:sz w:val="24"/>
        </w:rPr>
        <w:t>潜在的调控链条</w:t>
      </w:r>
      <w:r>
        <w:rPr>
          <w:rFonts w:ascii="Times New Roman" w:eastAsia="宋体" w:hAnsi="Times New Roman" w:cs="Times New Roman"/>
          <w:sz w:val="24"/>
        </w:rPr>
        <w:t>，并将其</w:t>
      </w:r>
      <w:r>
        <w:rPr>
          <w:rFonts w:ascii="Times New Roman" w:eastAsia="宋体" w:hAnsi="Times New Roman" w:cs="Times New Roman"/>
          <w:b/>
          <w:bCs/>
          <w:sz w:val="24"/>
        </w:rPr>
        <w:t>落实到具体蛋白、代谢物</w:t>
      </w:r>
      <w:r>
        <w:rPr>
          <w:rFonts w:ascii="Times New Roman" w:eastAsia="宋体" w:hAnsi="Times New Roman" w:cs="Times New Roman"/>
          <w:sz w:val="24"/>
        </w:rPr>
        <w:t>，从而为解释肝衰竭细胞因子风暴的机制基础、识别关键桥接分子提供依据。</w:t>
      </w:r>
    </w:p>
    <w:p w14:paraId="5F7C5C9B" w14:textId="77777777" w:rsidR="00EA25D5" w:rsidRDefault="00000000" w:rsidP="003C1746">
      <w:pPr>
        <w:spacing w:after="0" w:line="360" w:lineRule="auto"/>
        <w:jc w:val="both"/>
        <w:outlineLvl w:val="0"/>
        <w:rPr>
          <w:rFonts w:ascii="Times New Roman" w:eastAsia="宋体" w:hAnsi="Times New Roman" w:cs="Times New Roman"/>
          <w:b/>
          <w:bCs/>
          <w:sz w:val="24"/>
        </w:rPr>
      </w:pPr>
      <w:r>
        <w:rPr>
          <w:rFonts w:ascii="Times New Roman" w:eastAsia="宋体" w:hAnsi="Times New Roman" w:cs="Times New Roman"/>
          <w:b/>
          <w:bCs/>
          <w:sz w:val="24"/>
        </w:rPr>
        <w:t>技术挑战</w:t>
      </w:r>
    </w:p>
    <w:p w14:paraId="40F98EFC" w14:textId="77777777" w:rsidR="00EA25D5" w:rsidRDefault="00000000" w:rsidP="003C1746">
      <w:pPr>
        <w:spacing w:after="0" w:line="360" w:lineRule="auto"/>
        <w:ind w:firstLine="420"/>
        <w:jc w:val="both"/>
        <w:rPr>
          <w:rFonts w:ascii="Times New Roman" w:eastAsia="宋体" w:hAnsi="Times New Roman" w:cs="Times New Roman"/>
          <w:sz w:val="24"/>
        </w:rPr>
      </w:pPr>
      <w:r>
        <w:rPr>
          <w:rFonts w:ascii="Times New Roman" w:eastAsia="宋体" w:hAnsi="Times New Roman" w:cs="Times New Roman"/>
          <w:sz w:val="24"/>
        </w:rPr>
        <w:t>围绕上述两个科学问题，本研究面临的技术挑战主要体现在以下几个方面。</w:t>
      </w:r>
    </w:p>
    <w:p w14:paraId="40EF29DF" w14:textId="77777777" w:rsidR="00EA25D5" w:rsidRDefault="00000000" w:rsidP="003C1746">
      <w:pPr>
        <w:spacing w:after="0" w:line="360" w:lineRule="auto"/>
        <w:jc w:val="both"/>
        <w:outlineLvl w:val="1"/>
        <w:rPr>
          <w:rFonts w:ascii="Times New Roman" w:eastAsia="宋体" w:hAnsi="Times New Roman" w:cs="Times New Roman"/>
          <w:sz w:val="24"/>
        </w:rPr>
      </w:pPr>
      <w:r>
        <w:rPr>
          <w:rFonts w:ascii="Times New Roman" w:eastAsia="宋体" w:hAnsi="Times New Roman" w:cs="Times New Roman"/>
          <w:b/>
          <w:bCs/>
          <w:sz w:val="24"/>
        </w:rPr>
        <w:t>高维多模态数据中的有效信号提取与联合表征困难</w:t>
      </w:r>
      <w:r>
        <w:rPr>
          <w:rFonts w:ascii="Times New Roman" w:eastAsia="宋体" w:hAnsi="Times New Roman" w:cs="Times New Roman"/>
          <w:sz w:val="24"/>
        </w:rPr>
        <w:br/>
      </w:r>
      <w:r>
        <w:rPr>
          <w:rFonts w:ascii="Times New Roman" w:eastAsia="宋体" w:hAnsi="Times New Roman" w:cs="Times New Roman"/>
          <w:sz w:val="24"/>
        </w:rPr>
        <w:tab/>
      </w:r>
      <w:r>
        <w:rPr>
          <w:rFonts w:ascii="Times New Roman" w:eastAsia="宋体" w:hAnsi="Times New Roman" w:cs="Times New Roman"/>
          <w:sz w:val="24"/>
        </w:rPr>
        <w:t>肝衰竭细胞因子风暴涉及蛋白信号异常、代谢稳态失衡以及临床损伤表型演化等多个生物学层次。相较于单模态数据，多模态数据虽然能够提供更丰富的机制信息，但也显著增加了建模复杂性。一方面，不同模态的特征维度高、噪声水平不一致、统计分布差异显著，容易导致强噪声模态掩盖弱信号模态，进而影响联合表征的稳定性。另一方面，细胞因子风暴相关的真正机制信号往往只占据高维观测空间中的一小部分，若缺乏有效的结构约束，模型容易学习到冗余变化、技术性波动或与疾病机制无关的背景差异，从而削弱对系统性异常结构的识别能力。</w:t>
      </w:r>
    </w:p>
    <w:p w14:paraId="32261F10" w14:textId="77777777" w:rsidR="00EA25D5" w:rsidRDefault="00000000" w:rsidP="003C1746">
      <w:pPr>
        <w:spacing w:after="0" w:line="360" w:lineRule="auto"/>
        <w:jc w:val="both"/>
        <w:outlineLvl w:val="1"/>
        <w:rPr>
          <w:rFonts w:ascii="Times New Roman" w:eastAsia="宋体" w:hAnsi="Times New Roman" w:cs="Times New Roman"/>
          <w:sz w:val="24"/>
        </w:rPr>
      </w:pPr>
      <w:r>
        <w:rPr>
          <w:rFonts w:ascii="Times New Roman" w:eastAsia="宋体" w:hAnsi="Times New Roman" w:cs="Times New Roman"/>
          <w:b/>
          <w:bCs/>
          <w:sz w:val="24"/>
        </w:rPr>
        <w:t>复杂缺失模式与样本配对不完整对跨模态结构学习造成显著干扰</w:t>
      </w:r>
      <w:r>
        <w:rPr>
          <w:rFonts w:ascii="Times New Roman" w:eastAsia="宋体" w:hAnsi="Times New Roman" w:cs="Times New Roman"/>
          <w:b/>
          <w:bCs/>
          <w:sz w:val="24"/>
        </w:rPr>
        <w:br/>
      </w:r>
      <w:r>
        <w:rPr>
          <w:rFonts w:ascii="Times New Roman" w:eastAsia="宋体" w:hAnsi="Times New Roman" w:cs="Times New Roman"/>
          <w:b/>
          <w:bCs/>
          <w:sz w:val="24"/>
        </w:rPr>
        <w:tab/>
      </w:r>
      <w:r>
        <w:rPr>
          <w:rFonts w:ascii="Times New Roman" w:eastAsia="宋体" w:hAnsi="Times New Roman" w:cs="Times New Roman"/>
          <w:sz w:val="24"/>
        </w:rPr>
        <w:t>真实临床多模态数据普遍存在模态缺失、特征缺失和样本配对不完整等问题。不同样本在蛋白组、代谢组和临床表型上的观测完整性往往并不一致，使得跨模态信息无法在同一批样本上充分对齐。若简单采用统一插补或仅保留完全配对样本，前者可能引入伪信号并放大估计偏差，后者则会显著压缩样本规模，导致统计效率下降和结构估计不稳定。更为复杂的是，缺失并不总是随机发生，其模式可能与疾病严重程度、检测流程或样本来源相关，从而使模型在学习生物学机制的同时，不可避免地受到缺失机制本身的影响。如何在保留尽可能多有效样本信息的前提下处理复杂缺失，并避免技术性缺失对跨模态结构学习造成系统性偏倚，是本研究必须解决的重要问题。</w:t>
      </w:r>
    </w:p>
    <w:p w14:paraId="7B82747D" w14:textId="77777777" w:rsidR="00EA25D5" w:rsidRDefault="00000000" w:rsidP="003C1746">
      <w:pPr>
        <w:spacing w:after="0" w:line="360" w:lineRule="auto"/>
        <w:jc w:val="both"/>
        <w:outlineLvl w:val="1"/>
        <w:rPr>
          <w:rFonts w:ascii="Times New Roman" w:eastAsia="宋体" w:hAnsi="Times New Roman" w:cs="Times New Roman"/>
          <w:sz w:val="24"/>
        </w:rPr>
      </w:pPr>
      <w:r>
        <w:rPr>
          <w:rFonts w:ascii="Times New Roman" w:eastAsia="宋体" w:hAnsi="Times New Roman" w:cs="Times New Roman"/>
          <w:b/>
          <w:bCs/>
          <w:sz w:val="24"/>
        </w:rPr>
        <w:t>从多模态相关结构中提取具有方向性的潜在调控关系难度较高</w:t>
      </w:r>
      <w:r>
        <w:rPr>
          <w:rFonts w:ascii="Times New Roman" w:eastAsia="宋体" w:hAnsi="Times New Roman" w:cs="Times New Roman"/>
          <w:sz w:val="24"/>
        </w:rPr>
        <w:br/>
      </w:r>
      <w:r>
        <w:rPr>
          <w:rFonts w:ascii="Times New Roman" w:eastAsia="宋体" w:hAnsi="Times New Roman" w:cs="Times New Roman"/>
          <w:sz w:val="24"/>
        </w:rPr>
        <w:tab/>
      </w:r>
      <w:r>
        <w:rPr>
          <w:rFonts w:ascii="Times New Roman" w:eastAsia="宋体" w:hAnsi="Times New Roman" w:cs="Times New Roman"/>
          <w:sz w:val="24"/>
        </w:rPr>
        <w:t>肝衰竭细胞因子风暴本质上是一个由上游免疫激活驱动、经由炎症信号放大并伴随代谢紊乱和器官损伤演进的动态级联过程。然而，观测数据中最容易获得的是变量间的相关关系，而不是明确的调控方向。对于高维蛋白组和代谢组而言，模态内和模态间普遍存在强相关、共调控和潜在混杂因素影响，仅依赖传统相关分析难以区分上游驱动因素与下游响应结果。若缺乏合理的结构先验与识别约束，模型容易将同步变化误判为调控关系，甚至将下游结果变量错误解释为上游驱动因素。因此，如何在高维、多噪声、强相关的多模态数据中识别具有方向性的潜在调控结构，并尽可能增强所学关系的因果解释力度，是连接统计关联与机制推断的核心技术难点。</w:t>
      </w:r>
    </w:p>
    <w:p w14:paraId="56BBCAC8" w14:textId="77777777" w:rsidR="00EA25D5" w:rsidRDefault="00000000" w:rsidP="003C1746">
      <w:pPr>
        <w:spacing w:after="0" w:line="360" w:lineRule="auto"/>
        <w:jc w:val="both"/>
        <w:outlineLvl w:val="1"/>
        <w:rPr>
          <w:rFonts w:ascii="Times New Roman" w:eastAsia="宋体" w:hAnsi="Times New Roman" w:cs="Times New Roman"/>
          <w:sz w:val="24"/>
        </w:rPr>
      </w:pPr>
      <w:r>
        <w:rPr>
          <w:rFonts w:ascii="Times New Roman" w:eastAsia="宋体" w:hAnsi="Times New Roman" w:cs="Times New Roman"/>
          <w:b/>
          <w:bCs/>
          <w:sz w:val="24"/>
        </w:rPr>
        <w:t>潜在结构向真实分子层面的回映射与结果可解释性不足</w:t>
      </w:r>
      <w:r>
        <w:rPr>
          <w:rFonts w:ascii="Times New Roman" w:eastAsia="宋体" w:hAnsi="Times New Roman" w:cs="Times New Roman"/>
          <w:sz w:val="24"/>
        </w:rPr>
        <w:br/>
      </w:r>
      <w:r>
        <w:rPr>
          <w:rFonts w:ascii="Times New Roman" w:eastAsia="宋体" w:hAnsi="Times New Roman" w:cs="Times New Roman"/>
          <w:sz w:val="24"/>
        </w:rPr>
        <w:tab/>
      </w:r>
      <w:r>
        <w:rPr>
          <w:rFonts w:ascii="Times New Roman" w:eastAsia="宋体" w:hAnsi="Times New Roman" w:cs="Times New Roman"/>
          <w:sz w:val="24"/>
        </w:rPr>
        <w:t>即使能够在潜在空间中学习到较为稳定的跨模态结构，如果该结构无法进一步映射回真实蛋白、代谢物及相关通路层面，其生物学意义和临床价值仍然有限。高维表征模型往往具有较强的压缩能力，但潜在变量本身通常缺乏直接生物学语义，容易形成</w:t>
      </w:r>
      <w:r>
        <w:rPr>
          <w:rFonts w:ascii="Times New Roman" w:eastAsia="宋体" w:hAnsi="Times New Roman" w:cs="Times New Roman"/>
          <w:sz w:val="24"/>
        </w:rPr>
        <w:t>“</w:t>
      </w:r>
      <w:r>
        <w:rPr>
          <w:rFonts w:ascii="Times New Roman" w:eastAsia="宋体" w:hAnsi="Times New Roman" w:cs="Times New Roman"/>
          <w:sz w:val="24"/>
        </w:rPr>
        <w:t>结构可学但机制难以解释</w:t>
      </w:r>
      <w:r>
        <w:rPr>
          <w:rFonts w:ascii="Times New Roman" w:eastAsia="宋体" w:hAnsi="Times New Roman" w:cs="Times New Roman"/>
          <w:sz w:val="24"/>
        </w:rPr>
        <w:t>”</w:t>
      </w:r>
      <w:r>
        <w:rPr>
          <w:rFonts w:ascii="Times New Roman" w:eastAsia="宋体" w:hAnsi="Times New Roman" w:cs="Times New Roman"/>
          <w:sz w:val="24"/>
        </w:rPr>
        <w:t>的问题。对于肝衰竭细胞因子风暴研究而言，仅获得抽象的隐变量关联不足以支撑关键桥接分子识别、异常通路解析和候选标志物筛选。因而，如何在保持模型表达能力的同时，建立潜在结构与真实观测特征之间的稳定映射关系，使所识别的关键边、关键节点和关键通路具有明确的生物学指向性，是实现机制解释不可回避的技术挑战。</w:t>
      </w:r>
    </w:p>
    <w:p w14:paraId="7D5F3FBB" w14:textId="77777777" w:rsidR="00EA25D5" w:rsidRDefault="00000000" w:rsidP="003C1746">
      <w:pPr>
        <w:spacing w:after="0" w:line="360" w:lineRule="auto"/>
        <w:jc w:val="both"/>
        <w:outlineLvl w:val="0"/>
        <w:rPr>
          <w:rFonts w:ascii="Times New Roman" w:eastAsia="宋体" w:hAnsi="Times New Roman" w:cs="Times New Roman"/>
          <w:b/>
          <w:bCs/>
          <w:sz w:val="24"/>
        </w:rPr>
      </w:pPr>
      <w:r>
        <w:rPr>
          <w:rFonts w:ascii="Times New Roman" w:eastAsia="宋体" w:hAnsi="Times New Roman" w:cs="Times New Roman"/>
          <w:b/>
          <w:bCs/>
          <w:sz w:val="24"/>
        </w:rPr>
        <w:t>研究内容</w:t>
      </w:r>
    </w:p>
    <w:p w14:paraId="4A1CEA69" w14:textId="77777777" w:rsidR="00EA25D5" w:rsidRDefault="00000000" w:rsidP="003C1746">
      <w:pPr>
        <w:spacing w:after="0" w:line="360" w:lineRule="auto"/>
        <w:ind w:firstLine="420"/>
        <w:jc w:val="both"/>
        <w:rPr>
          <w:rFonts w:ascii="Times New Roman" w:eastAsia="宋体" w:hAnsi="Times New Roman" w:cs="Times New Roman"/>
          <w:sz w:val="24"/>
        </w:rPr>
      </w:pPr>
      <w:r>
        <w:rPr>
          <w:rFonts w:ascii="Times New Roman" w:eastAsia="宋体" w:hAnsi="Times New Roman" w:cs="Times New Roman"/>
          <w:sz w:val="24"/>
        </w:rPr>
        <w:t>针对肝衰竭细胞因子风暴中高维多模态异常结构识别与方向性调控关系解析问题，本研究构建了一种面向真实临床部分多模态数据的因果表征模型。</w:t>
      </w:r>
    </w:p>
    <w:p w14:paraId="52599330" w14:textId="77777777" w:rsidR="00EA25D5" w:rsidRDefault="00000000" w:rsidP="003C1746">
      <w:pPr>
        <w:spacing w:after="0" w:line="360" w:lineRule="auto"/>
        <w:jc w:val="both"/>
        <w:outlineLvl w:val="1"/>
        <w:rPr>
          <w:rFonts w:ascii="Times New Roman" w:eastAsia="宋体" w:hAnsi="Times New Roman" w:cs="Times New Roman"/>
          <w:b/>
          <w:bCs/>
          <w:sz w:val="24"/>
        </w:rPr>
      </w:pPr>
      <w:r>
        <w:rPr>
          <w:rFonts w:ascii="Times New Roman" w:eastAsia="宋体" w:hAnsi="Times New Roman" w:cs="Times New Roman"/>
          <w:b/>
          <w:bCs/>
          <w:sz w:val="24"/>
        </w:rPr>
        <w:t>模型架构</w:t>
      </w:r>
    </w:p>
    <w:p w14:paraId="5170787F" w14:textId="1D1C01B8" w:rsidR="00EA25D5" w:rsidRDefault="00000000" w:rsidP="003C1746">
      <w:pPr>
        <w:spacing w:after="0" w:line="360" w:lineRule="auto"/>
        <w:ind w:firstLine="420"/>
        <w:jc w:val="both"/>
        <w:rPr>
          <w:rFonts w:ascii="Times New Roman" w:hAnsi="Times New Roman" w:cs="Times New Roman"/>
        </w:rPr>
      </w:pPr>
      <w:r>
        <w:rPr>
          <w:rFonts w:ascii="Times New Roman" w:eastAsia="宋体" w:hAnsi="Times New Roman" w:cs="Times New Roman"/>
          <w:sz w:val="24"/>
        </w:rPr>
        <w:t>模型将输入数据划分为四个功能块：上游锚点变量</w:t>
      </w:r>
      <w:r>
        <w:rPr>
          <w:rFonts w:ascii="Times New Roman" w:eastAsia="宋体" w:hAnsi="Times New Roman" w:cs="Times New Roman"/>
          <w:position w:val="-10"/>
          <w:sz w:val="24"/>
        </w:rPr>
        <w:object w:dxaOrig="235" w:dyaOrig="356" w14:anchorId="2E5C7D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8pt" o:ole="">
            <v:imagedata r:id="rId6" o:title=""/>
          </v:shape>
          <o:OLEObject Type="Embed" ProgID="Equation.AxMath" ShapeID="_x0000_i1025" DrawAspect="Content" ObjectID="_1837796722" r:id="rId7"/>
        </w:object>
      </w:r>
      <w:r>
        <w:rPr>
          <w:rFonts w:ascii="Times New Roman" w:eastAsia="宋体" w:hAnsi="Times New Roman" w:cs="Times New Roman"/>
          <w:sz w:val="24"/>
        </w:rPr>
        <w:t>、蛋白组特征</w:t>
      </w:r>
      <w:r>
        <w:rPr>
          <w:rFonts w:ascii="Times New Roman" w:eastAsia="宋体" w:hAnsi="Times New Roman" w:cs="Times New Roman"/>
          <w:position w:val="-10"/>
          <w:sz w:val="24"/>
        </w:rPr>
        <w:object w:dxaOrig="351" w:dyaOrig="359" w14:anchorId="2D48FC36">
          <v:shape id="_x0000_i1026" type="#_x0000_t75" style="width:17.25pt;height:18pt" o:ole="">
            <v:imagedata r:id="rId8" o:title=""/>
          </v:shape>
          <o:OLEObject Type="Embed" ProgID="Equation.AxMath" ShapeID="_x0000_i1026" DrawAspect="Content" ObjectID="_1837796723" r:id="rId9"/>
        </w:object>
      </w:r>
      <w:r>
        <w:rPr>
          <w:rFonts w:ascii="Times New Roman" w:eastAsia="宋体" w:hAnsi="Times New Roman" w:cs="Times New Roman"/>
          <w:sz w:val="24"/>
        </w:rPr>
        <w:t>、代谢组特征</w:t>
      </w:r>
      <w:r>
        <w:rPr>
          <w:rFonts w:ascii="Times New Roman" w:eastAsia="宋体" w:hAnsi="Times New Roman" w:cs="Times New Roman"/>
          <w:position w:val="-10"/>
          <w:sz w:val="24"/>
        </w:rPr>
        <w:object w:dxaOrig="392" w:dyaOrig="359" w14:anchorId="64007EBA">
          <v:shape id="_x0000_i1027" type="#_x0000_t75" style="width:19.5pt;height:18pt" o:ole="">
            <v:imagedata r:id="rId10" o:title=""/>
          </v:shape>
          <o:OLEObject Type="Embed" ProgID="Equation.AxMath" ShapeID="_x0000_i1027" DrawAspect="Content" ObjectID="_1837796724" r:id="rId11"/>
        </w:object>
      </w:r>
      <w:r>
        <w:rPr>
          <w:rFonts w:ascii="Times New Roman" w:eastAsia="宋体" w:hAnsi="Times New Roman" w:cs="Times New Roman"/>
          <w:sz w:val="24"/>
        </w:rPr>
        <w:t>以及下游表型</w:t>
      </w:r>
      <w:r>
        <w:rPr>
          <w:rFonts w:ascii="Times New Roman" w:eastAsia="宋体" w:hAnsi="Times New Roman" w:cs="Times New Roman"/>
          <w:position w:val="-10"/>
          <w:sz w:val="24"/>
        </w:rPr>
        <w:object w:dxaOrig="240" w:dyaOrig="356" w14:anchorId="020AA0FB">
          <v:shape id="_x0000_i1028" type="#_x0000_t75" style="width:12pt;height:18pt" o:ole="">
            <v:imagedata r:id="rId12" o:title=""/>
          </v:shape>
          <o:OLEObject Type="Embed" ProgID="Equation.AxMath" ShapeID="_x0000_i1028" DrawAspect="Content" ObjectID="_1837796725" r:id="rId13"/>
        </w:object>
      </w:r>
      <w:r>
        <w:rPr>
          <w:rFonts w:ascii="Times New Roman" w:eastAsia="宋体" w:hAnsi="Times New Roman" w:cs="Times New Roman"/>
          <w:sz w:val="24"/>
        </w:rPr>
        <w:t>。其中，</w:t>
      </w:r>
      <w:r>
        <w:rPr>
          <w:rFonts w:ascii="Times New Roman" w:eastAsia="宋体" w:hAnsi="Times New Roman" w:cs="Times New Roman"/>
          <w:position w:val="-10"/>
          <w:sz w:val="24"/>
        </w:rPr>
        <w:object w:dxaOrig="235" w:dyaOrig="356" w14:anchorId="6CCE76E0">
          <v:shape id="_x0000_i1029" type="#_x0000_t75" style="width:12pt;height:18pt" o:ole="">
            <v:imagedata r:id="rId6" o:title=""/>
          </v:shape>
          <o:OLEObject Type="Embed" ProgID="Equation.AxMath" ShapeID="_x0000_i1029" DrawAspect="Content" ObjectID="_1837796726" r:id="rId14"/>
        </w:object>
      </w:r>
      <w:r>
        <w:rPr>
          <w:rFonts w:ascii="Times New Roman" w:eastAsia="宋体" w:hAnsi="Times New Roman" w:cs="Times New Roman"/>
          <w:sz w:val="24"/>
        </w:rPr>
        <w:t>用于表征患者的临床背景与外生条件，</w:t>
      </w:r>
      <w:r>
        <w:rPr>
          <w:rFonts w:ascii="Times New Roman" w:eastAsia="宋体" w:hAnsi="Times New Roman" w:cs="Times New Roman"/>
          <w:position w:val="-10"/>
          <w:sz w:val="24"/>
        </w:rPr>
        <w:object w:dxaOrig="351" w:dyaOrig="359" w14:anchorId="47B36A56">
          <v:shape id="_x0000_i1030" type="#_x0000_t75" style="width:17.25pt;height:18pt" o:ole="">
            <v:imagedata r:id="rId8" o:title=""/>
          </v:shape>
          <o:OLEObject Type="Embed" ProgID="Equation.AxMath" ShapeID="_x0000_i1030" DrawAspect="Content" ObjectID="_1837796727" r:id="rId15"/>
        </w:object>
      </w:r>
      <w:r>
        <w:rPr>
          <w:rFonts w:ascii="Times New Roman" w:eastAsia="宋体" w:hAnsi="Times New Roman" w:cs="Times New Roman"/>
          <w:sz w:val="24"/>
        </w:rPr>
        <w:t>和</w:t>
      </w:r>
    </w:p>
    <w:p w14:paraId="62CB74BB" w14:textId="77777777" w:rsidR="00EA25D5" w:rsidRDefault="00000000" w:rsidP="003C1746">
      <w:pPr>
        <w:spacing w:line="360" w:lineRule="auto"/>
        <w:ind w:firstLine="420"/>
        <w:jc w:val="both"/>
        <w:rPr>
          <w:rFonts w:ascii="Times New Roman" w:eastAsia="宋体" w:hAnsi="Times New Roman" w:cs="Times New Roman"/>
          <w:sz w:val="24"/>
        </w:rPr>
      </w:pPr>
      <w:r>
        <w:rPr>
          <w:rFonts w:ascii="Times New Roman" w:eastAsia="宋体" w:hAnsi="Times New Roman" w:cs="Times New Roman"/>
          <w:position w:val="-10"/>
          <w:sz w:val="24"/>
        </w:rPr>
        <w:object w:dxaOrig="392" w:dyaOrig="359" w14:anchorId="4903327E">
          <v:shape id="_x0000_i1031" type="#_x0000_t75" style="width:19.5pt;height:18pt" o:ole="">
            <v:imagedata r:id="rId10" o:title=""/>
          </v:shape>
          <o:OLEObject Type="Embed" ProgID="Equation.AxMath" ShapeID="_x0000_i1031" DrawAspect="Content" ObjectID="_1837796728" r:id="rId16"/>
        </w:object>
      </w:r>
      <w:r>
        <w:rPr>
          <w:rFonts w:ascii="Times New Roman" w:eastAsia="宋体" w:hAnsi="Times New Roman" w:cs="Times New Roman"/>
          <w:sz w:val="24"/>
        </w:rPr>
        <w:t>作为主要机制层输入，</w:t>
      </w:r>
      <w:r>
        <w:rPr>
          <w:rFonts w:ascii="Times New Roman" w:eastAsia="宋体" w:hAnsi="Times New Roman" w:cs="Times New Roman"/>
          <w:position w:val="-10"/>
          <w:sz w:val="24"/>
        </w:rPr>
        <w:object w:dxaOrig="240" w:dyaOrig="356" w14:anchorId="1AB4F008">
          <v:shape id="_x0000_i1032" type="#_x0000_t75" style="width:12pt;height:18pt" o:ole="">
            <v:imagedata r:id="rId12" o:title=""/>
          </v:shape>
          <o:OLEObject Type="Embed" ProgID="Equation.AxMath" ShapeID="_x0000_i1032" DrawAspect="Content" ObjectID="_1837796729" r:id="rId17"/>
        </w:object>
      </w:r>
      <w:r>
        <w:rPr>
          <w:rFonts w:ascii="Times New Roman" w:eastAsia="宋体" w:hAnsi="Times New Roman" w:cs="Times New Roman"/>
          <w:sz w:val="24"/>
        </w:rPr>
        <w:t>用于刻画炎症风暴与肝损伤相关表型。考虑到真实临床组学数据中广泛存在特征缺失，模型并不将缺失值简单视作普通数值，而是对每个模态同时构造数值矩阵与观测掩码，即以</w:t>
      </w:r>
      <w:r>
        <w:rPr>
          <w:rFonts w:ascii="Times New Roman" w:eastAsia="宋体" w:hAnsi="Times New Roman" w:cs="Times New Roman"/>
          <w:position w:val="-12"/>
          <w:sz w:val="24"/>
        </w:rPr>
        <w:object w:dxaOrig="929" w:dyaOrig="376" w14:anchorId="2A6917BB">
          <v:shape id="_x0000_i1033" type="#_x0000_t75" style="width:46.5pt;height:18.75pt" o:ole="">
            <v:imagedata r:id="rId18" o:title=""/>
          </v:shape>
          <o:OLEObject Type="Embed" ProgID="Equation.AxMath" ShapeID="_x0000_i1033" DrawAspect="Content" ObjectID="_1837796730" r:id="rId19"/>
        </w:object>
      </w:r>
      <w:r>
        <w:rPr>
          <w:rFonts w:ascii="Times New Roman" w:eastAsia="宋体" w:hAnsi="Times New Roman" w:cs="Times New Roman"/>
          <w:sz w:val="24"/>
        </w:rPr>
        <w:t>和</w:t>
      </w:r>
      <w:r>
        <w:rPr>
          <w:rFonts w:ascii="Times New Roman" w:eastAsia="宋体" w:hAnsi="Times New Roman" w:cs="Times New Roman"/>
          <w:position w:val="-12"/>
          <w:sz w:val="24"/>
        </w:rPr>
        <w:object w:dxaOrig="1010" w:dyaOrig="376" w14:anchorId="1CC03CF3">
          <v:shape id="_x0000_i1034" type="#_x0000_t75" style="width:50.25pt;height:18.75pt" o:ole="">
            <v:imagedata r:id="rId20" o:title=""/>
          </v:shape>
          <o:OLEObject Type="Embed" ProgID="Equation.AxMath" ShapeID="_x0000_i1034" DrawAspect="Content" ObjectID="_1837796731" r:id="rId21"/>
        </w:object>
      </w:r>
      <w:r>
        <w:rPr>
          <w:rFonts w:ascii="Times New Roman" w:eastAsia="宋体" w:hAnsi="Times New Roman" w:cs="Times New Roman"/>
          <w:sz w:val="24"/>
        </w:rPr>
        <w:t>作为联合输入，其中</w:t>
      </w:r>
      <w:r>
        <w:rPr>
          <w:rFonts w:ascii="Times New Roman" w:eastAsia="宋体" w:hAnsi="Times New Roman" w:cs="Times New Roman"/>
          <w:position w:val="-10"/>
          <w:sz w:val="24"/>
        </w:rPr>
        <w:object w:dxaOrig="390" w:dyaOrig="369" w14:anchorId="15EEEBDB">
          <v:shape id="_x0000_i1035" type="#_x0000_t75" style="width:19.5pt;height:18.75pt" o:ole="">
            <v:imagedata r:id="rId22" o:title=""/>
          </v:shape>
          <o:OLEObject Type="Embed" ProgID="Equation.AxMath" ShapeID="_x0000_i1035" DrawAspect="Content" ObjectID="_1837796732" r:id="rId23"/>
        </w:object>
      </w:r>
      <w:r>
        <w:rPr>
          <w:rFonts w:ascii="Times New Roman" w:eastAsia="宋体" w:hAnsi="Times New Roman" w:cs="Times New Roman"/>
          <w:sz w:val="24"/>
        </w:rPr>
        <w:t>,</w:t>
      </w:r>
      <w:r>
        <w:rPr>
          <w:rFonts w:ascii="Times New Roman" w:eastAsia="宋体" w:hAnsi="Times New Roman" w:cs="Times New Roman"/>
          <w:position w:val="-10"/>
          <w:sz w:val="24"/>
        </w:rPr>
        <w:object w:dxaOrig="432" w:dyaOrig="369" w14:anchorId="09DADF2B">
          <v:shape id="_x0000_i1036" type="#_x0000_t75" style="width:21.75pt;height:18.75pt" o:ole="">
            <v:imagedata r:id="rId24" o:title=""/>
          </v:shape>
          <o:OLEObject Type="Embed" ProgID="Equation.AxMath" ShapeID="_x0000_i1036" DrawAspect="Content" ObjectID="_1837796733" r:id="rId25"/>
        </w:object>
      </w:r>
      <w:r>
        <w:rPr>
          <w:rFonts w:ascii="Times New Roman" w:eastAsia="宋体" w:hAnsi="Times New Roman" w:cs="Times New Roman"/>
          <w:sz w:val="24"/>
        </w:rPr>
        <w:t xml:space="preserve">∈{0,1} </w:t>
      </w:r>
      <w:r>
        <w:rPr>
          <w:rFonts w:ascii="Times New Roman" w:eastAsia="宋体" w:hAnsi="Times New Roman" w:cs="Times New Roman"/>
          <w:sz w:val="24"/>
        </w:rPr>
        <w:t>作为掩码矩阵，表示对应特征是否被真实观测。为进一步适应部分多模态场景，模型还显式记录蛋白与代谢模态的可用性指标及观测比例，用于后续跨模态结构学习和表型预测。该数据组织方式使模型能够在保留高维原始分子信息的同时，显式区分真实观测与缺失位置，从而降低伪插补信息对结构学习的干扰。</w:t>
      </w:r>
    </w:p>
    <w:p w14:paraId="324A068C" w14:textId="77777777" w:rsidR="00EA25D5" w:rsidRDefault="00000000" w:rsidP="003C1746">
      <w:pPr>
        <w:spacing w:after="0" w:line="360" w:lineRule="auto"/>
        <w:ind w:firstLine="420"/>
        <w:jc w:val="both"/>
        <w:rPr>
          <w:rFonts w:ascii="Times New Roman" w:eastAsia="宋体" w:hAnsi="Times New Roman" w:cs="Times New Roman"/>
          <w:sz w:val="24"/>
        </w:rPr>
      </w:pPr>
      <w:r>
        <w:rPr>
          <w:rFonts w:ascii="Times New Roman" w:eastAsia="宋体" w:hAnsi="Times New Roman" w:cs="Times New Roman"/>
          <w:sz w:val="24"/>
        </w:rPr>
        <w:t>对于任一模态</w:t>
      </w:r>
      <w:r>
        <w:rPr>
          <w:rFonts w:ascii="Times New Roman" w:eastAsia="宋体" w:hAnsi="Times New Roman" w:cs="Times New Roman"/>
          <w:position w:val="-12"/>
          <w:sz w:val="24"/>
        </w:rPr>
        <w:object w:dxaOrig="1212" w:dyaOrig="370" w14:anchorId="2CB02759">
          <v:shape id="_x0000_i1037" type="#_x0000_t75" style="width:60.75pt;height:18.75pt" o:ole="">
            <v:imagedata r:id="rId26" o:title=""/>
          </v:shape>
          <o:OLEObject Type="Embed" ProgID="Equation.AxMath" ShapeID="_x0000_i1037" DrawAspect="Content" ObjectID="_1837796734" r:id="rId27"/>
        </w:object>
      </w:r>
      <w:r>
        <w:rPr>
          <w:rFonts w:ascii="Times New Roman" w:eastAsia="宋体" w:hAnsi="Times New Roman" w:cs="Times New Roman"/>
          <w:sz w:val="24"/>
        </w:rPr>
        <w:t>，编码器输出共享潜变量与私有潜变量的高斯分布参数：</w:t>
      </w:r>
    </w:p>
    <w:p w14:paraId="5CE9EFD1" w14:textId="567AA125" w:rsidR="00EA25D5" w:rsidRDefault="00000000" w:rsidP="003C1746">
      <w:pPr>
        <w:pStyle w:val="AMDisplayEquation"/>
        <w:spacing w:after="0" w:line="360" w:lineRule="auto"/>
        <w:ind w:firstLine="420"/>
        <w:jc w:val="both"/>
        <w:rPr>
          <w:rFonts w:ascii="Times New Roman" w:hAnsi="Times New Roman" w:cs="Times New Roman"/>
        </w:rPr>
      </w:pPr>
      <w:r>
        <w:rPr>
          <w:rFonts w:ascii="Times New Roman" w:hAnsi="Times New Roman" w:cs="Times New Roman"/>
          <w:position w:val="-12"/>
        </w:rPr>
        <w:object w:dxaOrig="5130" w:dyaOrig="425" w14:anchorId="7CE25A0B">
          <v:shape id="_x0000_i1038" type="#_x0000_t75" style="width:256.5pt;height:21pt" o:ole="">
            <v:imagedata r:id="rId28" o:title=""/>
          </v:shape>
          <o:OLEObject Type="Embed" ProgID="Equation.AxMath" ShapeID="_x0000_i1038" DrawAspect="Content" ObjectID="_1837796735" r:id="rId29"/>
        </w:object>
      </w:r>
    </w:p>
    <w:p w14:paraId="15A1FF4B" w14:textId="77777777" w:rsidR="00EA25D5" w:rsidRDefault="00000000" w:rsidP="003C1746">
      <w:pPr>
        <w:spacing w:line="360" w:lineRule="auto"/>
        <w:ind w:firstLine="420"/>
        <w:jc w:val="both"/>
        <w:rPr>
          <w:rFonts w:ascii="Times New Roman" w:eastAsia="宋体" w:hAnsi="Times New Roman" w:cs="Times New Roman"/>
          <w:sz w:val="24"/>
        </w:rPr>
      </w:pPr>
      <w:r>
        <w:rPr>
          <w:rFonts w:ascii="Times New Roman" w:eastAsia="宋体" w:hAnsi="Times New Roman" w:cs="Times New Roman"/>
          <w:sz w:val="24"/>
        </w:rPr>
        <w:t>经重参数化后得到共享潜变量</w:t>
      </w:r>
      <w:r>
        <w:rPr>
          <w:rFonts w:ascii="Times New Roman" w:eastAsia="宋体" w:hAnsi="Times New Roman" w:cs="Times New Roman"/>
          <w:position w:val="-10"/>
          <w:sz w:val="24"/>
        </w:rPr>
        <w:object w:dxaOrig="549" w:dyaOrig="369" w14:anchorId="12A55A99">
          <v:shape id="_x0000_i1039" type="#_x0000_t75" style="width:27.75pt;height:18.75pt" o:ole="">
            <v:imagedata r:id="rId30" o:title=""/>
          </v:shape>
          <o:OLEObject Type="Embed" ProgID="Equation.AxMath" ShapeID="_x0000_i1039" DrawAspect="Content" ObjectID="_1837796736" r:id="rId31"/>
        </w:object>
      </w:r>
      <w:r>
        <w:rPr>
          <w:rFonts w:ascii="Times New Roman" w:eastAsia="宋体" w:hAnsi="Times New Roman" w:cs="Times New Roman"/>
          <w:sz w:val="24"/>
        </w:rPr>
        <w:t>和私有潜变量</w:t>
      </w:r>
      <w:r>
        <w:rPr>
          <w:rFonts w:ascii="Times New Roman" w:eastAsia="宋体" w:hAnsi="Times New Roman" w:cs="Times New Roman"/>
          <w:position w:val="-10"/>
          <w:sz w:val="24"/>
        </w:rPr>
        <w:object w:dxaOrig="672" w:dyaOrig="369" w14:anchorId="6C916A22">
          <v:shape id="_x0000_i1040" type="#_x0000_t75" style="width:33.75pt;height:18.75pt" o:ole="">
            <v:imagedata r:id="rId32" o:title=""/>
          </v:shape>
          <o:OLEObject Type="Embed" ProgID="Equation.AxMath" ShapeID="_x0000_i1040" DrawAspect="Content" ObjectID="_1837796737" r:id="rId33"/>
        </w:object>
      </w:r>
      <w:r>
        <w:rPr>
          <w:rFonts w:ascii="Times New Roman" w:eastAsia="宋体" w:hAnsi="Times New Roman" w:cs="Times New Roman"/>
          <w:sz w:val="24"/>
        </w:rPr>
        <w:t>。</w:t>
      </w:r>
    </w:p>
    <w:p w14:paraId="02CB95F9" w14:textId="3984F636" w:rsidR="00EA25D5" w:rsidRDefault="00000000" w:rsidP="003C1746">
      <w:pPr>
        <w:pStyle w:val="AMDisplayEquation"/>
        <w:spacing w:line="360" w:lineRule="auto"/>
        <w:ind w:firstLine="420"/>
        <w:jc w:val="both"/>
        <w:rPr>
          <w:rFonts w:ascii="Times New Roman" w:hAnsi="Times New Roman" w:cs="Times New Roman"/>
        </w:rPr>
      </w:pPr>
      <w:r>
        <w:rPr>
          <w:rFonts w:ascii="Times New Roman" w:hAnsi="Times New Roman" w:cs="Times New Roman"/>
          <w:position w:val="-10"/>
        </w:rPr>
        <w:object w:dxaOrig="5723" w:dyaOrig="425" w14:anchorId="21A1904A">
          <v:shape id="_x0000_i1041" type="#_x0000_t75" style="width:286.5pt;height:21pt" o:ole="">
            <v:imagedata r:id="rId34" o:title=""/>
          </v:shape>
          <o:OLEObject Type="Embed" ProgID="Equation.AxMath" ShapeID="_x0000_i1041" DrawAspect="Content" ObjectID="_1837796738" r:id="rId35"/>
        </w:object>
      </w:r>
    </w:p>
    <w:p w14:paraId="57452DFF" w14:textId="77777777" w:rsidR="00EA25D5" w:rsidRDefault="00000000" w:rsidP="003C1746">
      <w:pPr>
        <w:spacing w:line="360" w:lineRule="auto"/>
        <w:ind w:firstLine="420"/>
        <w:jc w:val="both"/>
        <w:rPr>
          <w:rFonts w:ascii="Times New Roman" w:eastAsia="宋体" w:hAnsi="Times New Roman" w:cs="Times New Roman"/>
          <w:sz w:val="24"/>
        </w:rPr>
      </w:pPr>
      <w:r>
        <w:rPr>
          <w:rFonts w:ascii="Times New Roman" w:eastAsia="宋体" w:hAnsi="Times New Roman" w:cs="Times New Roman"/>
          <w:sz w:val="24"/>
        </w:rPr>
        <w:t>其中，共享潜变量用于承载与跨模态因果机制相关的信息，私有潜变量用于吸收模态在高维观测空间中尽可能分离</w:t>
      </w:r>
      <w:r>
        <w:rPr>
          <w:rFonts w:ascii="Times New Roman" w:eastAsia="宋体" w:hAnsi="Times New Roman" w:cs="Times New Roman"/>
          <w:sz w:val="24"/>
        </w:rPr>
        <w:t>“</w:t>
      </w:r>
      <w:r>
        <w:rPr>
          <w:rFonts w:ascii="Times New Roman" w:eastAsia="宋体" w:hAnsi="Times New Roman" w:cs="Times New Roman"/>
          <w:sz w:val="24"/>
        </w:rPr>
        <w:t>跨模态机制信号</w:t>
      </w:r>
      <w:r>
        <w:rPr>
          <w:rFonts w:ascii="Times New Roman" w:eastAsia="宋体" w:hAnsi="Times New Roman" w:cs="Times New Roman"/>
          <w:sz w:val="24"/>
        </w:rPr>
        <w:t>”</w:t>
      </w:r>
      <w:r>
        <w:rPr>
          <w:rFonts w:ascii="Times New Roman" w:eastAsia="宋体" w:hAnsi="Times New Roman" w:cs="Times New Roman"/>
          <w:sz w:val="24"/>
        </w:rPr>
        <w:t>与</w:t>
      </w:r>
      <w:r>
        <w:rPr>
          <w:rFonts w:ascii="Times New Roman" w:eastAsia="宋体" w:hAnsi="Times New Roman" w:cs="Times New Roman"/>
          <w:sz w:val="24"/>
        </w:rPr>
        <w:t>“</w:t>
      </w:r>
      <w:r>
        <w:rPr>
          <w:rFonts w:ascii="Times New Roman" w:eastAsia="宋体" w:hAnsi="Times New Roman" w:cs="Times New Roman"/>
          <w:sz w:val="24"/>
        </w:rPr>
        <w:t>模态私有噪声</w:t>
      </w:r>
      <w:r>
        <w:rPr>
          <w:rFonts w:ascii="Times New Roman" w:eastAsia="宋体" w:hAnsi="Times New Roman" w:cs="Times New Roman"/>
          <w:sz w:val="24"/>
        </w:rPr>
        <w:t>”</w:t>
      </w:r>
      <w:r>
        <w:rPr>
          <w:rFonts w:ascii="Times New Roman" w:eastAsia="宋体" w:hAnsi="Times New Roman" w:cs="Times New Roman"/>
          <w:sz w:val="24"/>
        </w:rPr>
        <w:t>，从而内部的特异性波动和冗余变化。通过这种</w:t>
      </w:r>
      <w:r>
        <w:rPr>
          <w:rFonts w:ascii="Times New Roman" w:eastAsia="宋体" w:hAnsi="Times New Roman" w:cs="Times New Roman"/>
          <w:sz w:val="24"/>
        </w:rPr>
        <w:t xml:space="preserve"> shared/private </w:t>
      </w:r>
      <w:r>
        <w:rPr>
          <w:rFonts w:ascii="Times New Roman" w:eastAsia="宋体" w:hAnsi="Times New Roman" w:cs="Times New Roman"/>
          <w:sz w:val="24"/>
        </w:rPr>
        <w:t>分解，模型能够提高后续因果结构学习的针对性。</w:t>
      </w:r>
    </w:p>
    <w:p w14:paraId="140286DA" w14:textId="77777777" w:rsidR="00EA25D5" w:rsidRDefault="00000000" w:rsidP="003C1746">
      <w:pPr>
        <w:spacing w:line="360" w:lineRule="auto"/>
        <w:ind w:firstLine="420"/>
        <w:jc w:val="both"/>
        <w:rPr>
          <w:rFonts w:ascii="Times New Roman" w:eastAsia="宋体" w:hAnsi="Times New Roman" w:cs="Times New Roman"/>
          <w:sz w:val="24"/>
        </w:rPr>
      </w:pPr>
      <w:r>
        <w:rPr>
          <w:rFonts w:ascii="Times New Roman" w:eastAsia="宋体" w:hAnsi="Times New Roman" w:cs="Times New Roman"/>
          <w:sz w:val="24"/>
        </w:rPr>
        <w:t>解码端采用共享解码器与私有解码器相结合的线性重构形式：</w:t>
      </w:r>
    </w:p>
    <w:p w14:paraId="3FFC234D" w14:textId="3CE6536E" w:rsidR="00EA25D5" w:rsidRDefault="00000000" w:rsidP="003C1746">
      <w:pPr>
        <w:pStyle w:val="AMDisplayEquation"/>
        <w:spacing w:line="360" w:lineRule="auto"/>
        <w:ind w:firstLine="420"/>
        <w:jc w:val="both"/>
        <w:rPr>
          <w:rFonts w:ascii="Times New Roman" w:hAnsi="Times New Roman" w:cs="Times New Roman"/>
        </w:rPr>
      </w:pPr>
      <w:r>
        <w:rPr>
          <w:rFonts w:ascii="Times New Roman" w:hAnsi="Times New Roman" w:cs="Times New Roman"/>
          <w:position w:val="-10"/>
        </w:rPr>
        <w:object w:dxaOrig="5952" w:dyaOrig="425" w14:anchorId="4E293D20">
          <v:shape id="_x0000_i1042" type="#_x0000_t75" style="width:297.75pt;height:21pt" o:ole="">
            <v:imagedata r:id="rId36" o:title=""/>
          </v:shape>
          <o:OLEObject Type="Embed" ProgID="Equation.AxMath" ShapeID="_x0000_i1042" DrawAspect="Content" ObjectID="_1837796739" r:id="rId37"/>
        </w:object>
      </w:r>
    </w:p>
    <w:p w14:paraId="46E30D1A" w14:textId="77777777" w:rsidR="00EA25D5" w:rsidRDefault="00000000" w:rsidP="003C1746">
      <w:pPr>
        <w:spacing w:line="360" w:lineRule="auto"/>
        <w:ind w:firstLine="420"/>
        <w:jc w:val="both"/>
        <w:rPr>
          <w:rFonts w:ascii="Times New Roman" w:eastAsia="宋体" w:hAnsi="Times New Roman" w:cs="Times New Roman"/>
          <w:sz w:val="24"/>
        </w:rPr>
      </w:pPr>
      <w:r>
        <w:rPr>
          <w:rFonts w:ascii="Times New Roman" w:eastAsia="宋体" w:hAnsi="Times New Roman" w:cs="Times New Roman"/>
          <w:sz w:val="24"/>
        </w:rPr>
        <w:t>其中，</w:t>
      </w:r>
      <w:r>
        <w:rPr>
          <w:rFonts w:ascii="Times New Roman" w:eastAsia="宋体" w:hAnsi="Times New Roman" w:cs="Times New Roman"/>
          <w:position w:val="-10"/>
          <w:sz w:val="24"/>
        </w:rPr>
        <w:object w:dxaOrig="421" w:dyaOrig="369" w14:anchorId="1F1AD117">
          <v:shape id="_x0000_i1043" type="#_x0000_t75" style="width:21pt;height:18.75pt" o:ole="">
            <v:imagedata r:id="rId38" o:title=""/>
          </v:shape>
          <o:OLEObject Type="Embed" ProgID="Equation.AxMath" ShapeID="_x0000_i1043" DrawAspect="Content" ObjectID="_1837796740" r:id="rId39"/>
        </w:object>
      </w:r>
      <w:r>
        <w:rPr>
          <w:rFonts w:ascii="Times New Roman" w:eastAsia="宋体" w:hAnsi="Times New Roman" w:cs="Times New Roman"/>
          <w:sz w:val="24"/>
        </w:rPr>
        <w:t>，</w:t>
      </w:r>
      <w:r>
        <w:rPr>
          <w:rFonts w:ascii="Times New Roman" w:eastAsia="宋体" w:hAnsi="Times New Roman" w:cs="Times New Roman"/>
          <w:position w:val="-10"/>
          <w:sz w:val="24"/>
        </w:rPr>
        <w:object w:dxaOrig="413" w:dyaOrig="362" w14:anchorId="62D41860">
          <v:shape id="_x0000_i1044" type="#_x0000_t75" style="width:21pt;height:18pt" o:ole="">
            <v:imagedata r:id="rId40" o:title=""/>
          </v:shape>
          <o:OLEObject Type="Embed" ProgID="Equation.AxMath" ShapeID="_x0000_i1044" DrawAspect="Content" ObjectID="_1837796741" r:id="rId41"/>
        </w:object>
      </w:r>
      <w:r>
        <w:rPr>
          <w:rFonts w:ascii="Times New Roman" w:eastAsia="宋体" w:hAnsi="Times New Roman" w:cs="Times New Roman"/>
          <w:sz w:val="24"/>
        </w:rPr>
        <w:t>对应共享因果通道，</w:t>
      </w:r>
      <w:r>
        <w:rPr>
          <w:rFonts w:ascii="Times New Roman" w:eastAsia="宋体" w:hAnsi="Times New Roman" w:cs="Times New Roman"/>
          <w:position w:val="-10"/>
          <w:sz w:val="24"/>
        </w:rPr>
        <w:object w:dxaOrig="434" w:dyaOrig="362" w14:anchorId="7DB7FD7A">
          <v:shape id="_x0000_i1045" type="#_x0000_t75" style="width:21.75pt;height:18pt" o:ole="">
            <v:imagedata r:id="rId42" o:title=""/>
          </v:shape>
          <o:OLEObject Type="Embed" ProgID="Equation.AxMath" ShapeID="_x0000_i1045" DrawAspect="Content" ObjectID="_1837796742" r:id="rId43"/>
        </w:object>
      </w:r>
      <w:r>
        <w:rPr>
          <w:rFonts w:ascii="Times New Roman" w:eastAsia="宋体" w:hAnsi="Times New Roman" w:cs="Times New Roman"/>
          <w:sz w:val="24"/>
        </w:rPr>
        <w:t>，</w:t>
      </w:r>
      <w:r>
        <w:rPr>
          <w:rFonts w:ascii="Times New Roman" w:eastAsia="宋体" w:hAnsi="Times New Roman" w:cs="Times New Roman"/>
          <w:position w:val="-10"/>
          <w:sz w:val="24"/>
        </w:rPr>
        <w:object w:dxaOrig="434" w:dyaOrig="362" w14:anchorId="16843306">
          <v:shape id="_x0000_i1046" type="#_x0000_t75" style="width:21.75pt;height:18pt" o:ole="">
            <v:imagedata r:id="rId44" o:title=""/>
          </v:shape>
          <o:OLEObject Type="Embed" ProgID="Equation.AxMath" ShapeID="_x0000_i1046" DrawAspect="Content" ObjectID="_1837796743" r:id="rId45"/>
        </w:object>
      </w:r>
      <w:r>
        <w:rPr>
          <w:rFonts w:ascii="Times New Roman" w:eastAsia="宋体" w:hAnsi="Times New Roman" w:cs="Times New Roman"/>
          <w:sz w:val="24"/>
        </w:rPr>
        <w:t>对应模态私有通道。模型在因果层之后接入表型预测头，以将潜在因果结构与炎症风暴和肝损伤相关表型进行关联。表型模块的输入为蛋白共享潜变量、代谢共享潜变量、锚点变量以及模态可用性信息：</w:t>
      </w:r>
    </w:p>
    <w:p w14:paraId="0F7A66E7" w14:textId="6B1B6652" w:rsidR="00EA25D5" w:rsidRDefault="00000000" w:rsidP="003C1746">
      <w:pPr>
        <w:pStyle w:val="AMDisplayEquation"/>
        <w:spacing w:line="360" w:lineRule="auto"/>
        <w:ind w:firstLine="420"/>
        <w:jc w:val="both"/>
        <w:rPr>
          <w:rFonts w:ascii="Times New Roman" w:hAnsi="Times New Roman" w:cs="Times New Roman"/>
        </w:rPr>
      </w:pPr>
      <w:r>
        <w:rPr>
          <w:rFonts w:ascii="Times New Roman" w:hAnsi="Times New Roman" w:cs="Times New Roman"/>
          <w:position w:val="-12"/>
        </w:rPr>
        <w:object w:dxaOrig="4531" w:dyaOrig="425" w14:anchorId="68A630D6">
          <v:shape id="_x0000_i1047" type="#_x0000_t75" style="width:226.5pt;height:21pt" o:ole="">
            <v:imagedata r:id="rId46" o:title=""/>
          </v:shape>
          <o:OLEObject Type="Embed" ProgID="Equation.AxMath" ShapeID="_x0000_i1047" DrawAspect="Content" ObjectID="_1837796744" r:id="rId47"/>
        </w:object>
      </w:r>
    </w:p>
    <w:p w14:paraId="65CA7831" w14:textId="77777777" w:rsidR="00EA25D5" w:rsidRDefault="00000000" w:rsidP="003C1746">
      <w:pPr>
        <w:spacing w:after="0" w:line="360" w:lineRule="auto"/>
        <w:jc w:val="both"/>
        <w:outlineLvl w:val="1"/>
        <w:rPr>
          <w:rFonts w:ascii="Times New Roman" w:eastAsia="宋体" w:hAnsi="Times New Roman" w:cs="Times New Roman"/>
          <w:b/>
          <w:bCs/>
          <w:sz w:val="24"/>
        </w:rPr>
      </w:pPr>
      <w:r>
        <w:rPr>
          <w:rFonts w:ascii="Times New Roman" w:eastAsia="宋体" w:hAnsi="Times New Roman" w:cs="Times New Roman"/>
          <w:b/>
          <w:bCs/>
          <w:sz w:val="24"/>
        </w:rPr>
        <w:t>潜在因果结构学习</w:t>
      </w:r>
    </w:p>
    <w:p w14:paraId="2371EC8F" w14:textId="77777777" w:rsidR="00EA25D5" w:rsidRDefault="00000000" w:rsidP="003C1746">
      <w:pPr>
        <w:spacing w:after="0" w:line="360" w:lineRule="auto"/>
        <w:ind w:firstLine="420"/>
        <w:jc w:val="both"/>
        <w:rPr>
          <w:rFonts w:ascii="Times New Roman" w:eastAsia="宋体" w:hAnsi="Times New Roman" w:cs="Times New Roman"/>
          <w:sz w:val="24"/>
        </w:rPr>
      </w:pPr>
      <w:r>
        <w:rPr>
          <w:rFonts w:ascii="Times New Roman" w:eastAsia="宋体" w:hAnsi="Times New Roman" w:cs="Times New Roman"/>
          <w:sz w:val="24"/>
        </w:rPr>
        <w:t>在潜在因果层，模型仅在蛋白组和代谢组的共享潜变量上构建分块结构因果模型。记两组共享潜变量拼接为：</w:t>
      </w:r>
    </w:p>
    <w:p w14:paraId="648CEDFB" w14:textId="15313CF2" w:rsidR="00EA25D5" w:rsidRDefault="00000000" w:rsidP="003C1746">
      <w:pPr>
        <w:pStyle w:val="AMDisplayEquation"/>
        <w:ind w:firstLine="420"/>
        <w:jc w:val="both"/>
        <w:rPr>
          <w:rFonts w:ascii="Times New Roman" w:hAnsi="Times New Roman" w:cs="Times New Roman"/>
        </w:rPr>
      </w:pPr>
      <w:r>
        <w:rPr>
          <w:rFonts w:ascii="Times New Roman" w:hAnsi="Times New Roman" w:cs="Times New Roman"/>
          <w:position w:val="-10"/>
        </w:rPr>
        <w:object w:dxaOrig="1769" w:dyaOrig="425" w14:anchorId="4AAC82C5">
          <v:shape id="_x0000_i1048" type="#_x0000_t75" style="width:88.5pt;height:21pt" o:ole="">
            <v:imagedata r:id="rId48" o:title=""/>
          </v:shape>
          <o:OLEObject Type="Embed" ProgID="Equation.AxMath" ShapeID="_x0000_i1048" DrawAspect="Content" ObjectID="_1837796745" r:id="rId49"/>
        </w:object>
      </w:r>
    </w:p>
    <w:p w14:paraId="0D92B3B1" w14:textId="77777777" w:rsidR="00EA25D5" w:rsidRDefault="00000000" w:rsidP="003C1746">
      <w:pPr>
        <w:spacing w:after="0" w:line="360" w:lineRule="auto"/>
        <w:ind w:firstLine="420"/>
        <w:jc w:val="both"/>
        <w:rPr>
          <w:rFonts w:ascii="Times New Roman" w:eastAsia="宋体" w:hAnsi="Times New Roman" w:cs="Times New Roman"/>
          <w:sz w:val="24"/>
        </w:rPr>
      </w:pPr>
      <w:r>
        <w:rPr>
          <w:rFonts w:ascii="Times New Roman" w:eastAsia="宋体" w:hAnsi="Times New Roman" w:cs="Times New Roman"/>
          <w:sz w:val="24"/>
        </w:rPr>
        <w:t>则潜在因果变量</w:t>
      </w:r>
      <w:r>
        <w:rPr>
          <w:rFonts w:ascii="Times New Roman" w:eastAsia="宋体" w:hAnsi="Times New Roman" w:cs="Times New Roman"/>
          <w:position w:val="-10"/>
          <w:sz w:val="24"/>
        </w:rPr>
        <w:object w:dxaOrig="179" w:dyaOrig="369" w14:anchorId="5721912A">
          <v:shape id="_x0000_i1049" type="#_x0000_t75" style="width:9pt;height:18.75pt" o:ole="">
            <v:imagedata r:id="rId50" o:title=""/>
          </v:shape>
          <o:OLEObject Type="Embed" ProgID="Equation.AxMath" ShapeID="_x0000_i1049" DrawAspect="Content" ObjectID="_1837796746" r:id="rId51"/>
        </w:object>
      </w:r>
      <w:r>
        <w:rPr>
          <w:rFonts w:ascii="Times New Roman" w:eastAsia="宋体" w:hAnsi="Times New Roman" w:cs="Times New Roman"/>
          <w:sz w:val="24"/>
        </w:rPr>
        <w:t>满足如下结构方程：</w:t>
      </w:r>
    </w:p>
    <w:p w14:paraId="50044A4B" w14:textId="1CFBCBC9" w:rsidR="00EA25D5" w:rsidRDefault="00000000" w:rsidP="003C1746">
      <w:pPr>
        <w:pStyle w:val="AMDisplayEquation"/>
        <w:ind w:firstLine="420"/>
        <w:jc w:val="both"/>
        <w:rPr>
          <w:rFonts w:ascii="Times New Roman" w:hAnsi="Times New Roman" w:cs="Times New Roman"/>
        </w:rPr>
      </w:pPr>
      <w:r>
        <w:rPr>
          <w:rFonts w:ascii="Times New Roman" w:hAnsi="Times New Roman" w:cs="Times New Roman"/>
          <w:position w:val="-10"/>
        </w:rPr>
        <w:object w:dxaOrig="3352" w:dyaOrig="425" w14:anchorId="3DCACAAE">
          <v:shape id="_x0000_i1050" type="#_x0000_t75" style="width:167.25pt;height:21pt" o:ole="">
            <v:imagedata r:id="rId52" o:title=""/>
          </v:shape>
          <o:OLEObject Type="Embed" ProgID="Equation.AxMath" ShapeID="_x0000_i1050" DrawAspect="Content" ObjectID="_1837796747" r:id="rId53"/>
        </w:object>
      </w:r>
    </w:p>
    <w:p w14:paraId="4FA2F38A" w14:textId="77777777" w:rsidR="00EA25D5" w:rsidRDefault="00000000" w:rsidP="003C1746">
      <w:pPr>
        <w:spacing w:after="0" w:line="360" w:lineRule="auto"/>
        <w:ind w:firstLine="420"/>
        <w:jc w:val="both"/>
        <w:rPr>
          <w:rFonts w:ascii="Times New Roman" w:eastAsia="宋体" w:hAnsi="Times New Roman" w:cs="Times New Roman"/>
          <w:sz w:val="24"/>
        </w:rPr>
      </w:pPr>
      <w:r>
        <w:rPr>
          <w:rFonts w:ascii="Times New Roman" w:eastAsia="宋体" w:hAnsi="Times New Roman" w:cs="Times New Roman"/>
          <w:sz w:val="24"/>
        </w:rPr>
        <w:t>其中，</w:t>
      </w:r>
      <w:r>
        <w:rPr>
          <w:rFonts w:ascii="Times New Roman" w:eastAsia="宋体" w:hAnsi="Times New Roman" w:cs="Times New Roman"/>
          <w:position w:val="-10"/>
          <w:sz w:val="24"/>
        </w:rPr>
        <w:object w:dxaOrig="574" w:dyaOrig="369" w14:anchorId="27CE478F">
          <v:shape id="_x0000_i1051" type="#_x0000_t75" style="width:28.5pt;height:18.75pt" o:ole="">
            <v:imagedata r:id="rId54" o:title=""/>
          </v:shape>
          <o:OLEObject Type="Embed" ProgID="Equation.AxMath" ShapeID="_x0000_i1051" DrawAspect="Content" ObjectID="_1837796748" r:id="rId55"/>
        </w:object>
      </w:r>
      <w:r>
        <w:rPr>
          <w:rFonts w:ascii="Times New Roman" w:eastAsia="宋体" w:hAnsi="Times New Roman" w:cs="Times New Roman"/>
          <w:sz w:val="24"/>
        </w:rPr>
        <w:t>表示锚点变量对潜在因果层的外生上下文注入，</w:t>
      </w:r>
      <w:r>
        <w:rPr>
          <w:rFonts w:ascii="Times New Roman" w:eastAsia="宋体" w:hAnsi="Times New Roman" w:cs="Times New Roman"/>
          <w:position w:val="-10"/>
          <w:sz w:val="24"/>
        </w:rPr>
        <w:object w:dxaOrig="239" w:dyaOrig="369" w14:anchorId="2F9C0454">
          <v:shape id="_x0000_i1052" type="#_x0000_t75" style="width:12pt;height:18.75pt" o:ole="">
            <v:imagedata r:id="rId56" o:title=""/>
          </v:shape>
          <o:OLEObject Type="Embed" ProgID="Equation.AxMath" ShapeID="_x0000_i1052" DrawAspect="Content" ObjectID="_1837796749" r:id="rId57"/>
        </w:object>
      </w:r>
      <w:r>
        <w:rPr>
          <w:rFonts w:ascii="Times New Roman" w:eastAsia="宋体" w:hAnsi="Times New Roman" w:cs="Times New Roman"/>
          <w:sz w:val="24"/>
        </w:rPr>
        <w:t>为分块邻接矩阵：</w:t>
      </w:r>
    </w:p>
    <w:p w14:paraId="3965DC3C" w14:textId="02C59685" w:rsidR="00EA25D5" w:rsidRDefault="00000000" w:rsidP="003C1746">
      <w:pPr>
        <w:pStyle w:val="AMDisplayEquation"/>
        <w:ind w:firstLine="420"/>
        <w:jc w:val="both"/>
        <w:rPr>
          <w:rFonts w:ascii="Times New Roman" w:hAnsi="Times New Roman" w:cs="Times New Roman"/>
        </w:rPr>
      </w:pPr>
      <w:r>
        <w:rPr>
          <w:rFonts w:ascii="Times New Roman" w:hAnsi="Times New Roman" w:cs="Times New Roman"/>
          <w:position w:val="-26"/>
        </w:rPr>
        <w:object w:dxaOrig="2246" w:dyaOrig="850" w14:anchorId="0F5EDA05">
          <v:shape id="_x0000_i1053" type="#_x0000_t75" style="width:112.5pt;height:42.75pt" o:ole="">
            <v:imagedata r:id="rId58" o:title=""/>
          </v:shape>
          <o:OLEObject Type="Embed" ProgID="Equation.AxMath" ShapeID="_x0000_i1053" DrawAspect="Content" ObjectID="_1837796750" r:id="rId59"/>
        </w:object>
      </w:r>
    </w:p>
    <w:p w14:paraId="13BEC13E" w14:textId="77777777" w:rsidR="00EA25D5" w:rsidRDefault="00000000" w:rsidP="003C1746">
      <w:pPr>
        <w:pStyle w:val="a9"/>
        <w:widowControl/>
        <w:spacing w:beforeAutospacing="0" w:afterAutospacing="0" w:line="360" w:lineRule="auto"/>
        <w:ind w:firstLine="420"/>
        <w:jc w:val="both"/>
        <w:rPr>
          <w:rFonts w:ascii="Times New Roman" w:eastAsia="宋体" w:hAnsi="Times New Roman"/>
        </w:rPr>
      </w:pPr>
      <w:r>
        <w:rPr>
          <w:rFonts w:ascii="Times New Roman" w:eastAsia="宋体" w:hAnsi="Times New Roman"/>
        </w:rPr>
        <w:t>其中，</w:t>
      </w:r>
      <w:r>
        <w:rPr>
          <w:rFonts w:ascii="Times New Roman" w:eastAsia="宋体" w:hAnsi="Times New Roman"/>
          <w:position w:val="-10"/>
        </w:rPr>
        <w:object w:dxaOrig="406" w:dyaOrig="369" w14:anchorId="44DE9A94">
          <v:shape id="_x0000_i1054" type="#_x0000_t75" style="width:20.25pt;height:18.75pt" o:ole="">
            <v:imagedata r:id="rId60" o:title=""/>
          </v:shape>
          <o:OLEObject Type="Embed" ProgID="Equation.AxMath" ShapeID="_x0000_i1054" DrawAspect="Content" ObjectID="_1837796751" r:id="rId61"/>
        </w:object>
      </w:r>
      <w:r>
        <w:rPr>
          <w:rFonts w:ascii="Times New Roman" w:eastAsia="宋体" w:hAnsi="Times New Roman"/>
        </w:rPr>
        <w:t>和</w:t>
      </w:r>
      <w:r>
        <w:rPr>
          <w:rFonts w:ascii="Times New Roman" w:eastAsia="宋体" w:hAnsi="Times New Roman"/>
          <w:position w:val="-10"/>
        </w:rPr>
        <w:object w:dxaOrig="491" w:dyaOrig="369" w14:anchorId="2ADCF26A">
          <v:shape id="_x0000_i1055" type="#_x0000_t75" style="width:24.75pt;height:18.75pt" o:ole="">
            <v:imagedata r:id="rId62" o:title=""/>
          </v:shape>
          <o:OLEObject Type="Embed" ProgID="Equation.AxMath" ShapeID="_x0000_i1055" DrawAspect="Content" ObjectID="_1837796752" r:id="rId63"/>
        </w:object>
      </w:r>
      <w:r>
        <w:rPr>
          <w:rFonts w:ascii="Times New Roman" w:eastAsia="宋体" w:hAnsi="Times New Roman"/>
        </w:rPr>
        <w:t>分别表示蛋白组内部与代谢组内部的潜在调控结构，</w:t>
      </w:r>
      <w:r>
        <w:rPr>
          <w:rFonts w:ascii="Times New Roman" w:eastAsia="宋体" w:hAnsi="Times New Roman"/>
          <w:position w:val="-10"/>
        </w:rPr>
        <w:object w:dxaOrig="455" w:dyaOrig="369" w14:anchorId="794C8D64">
          <v:shape id="_x0000_i1056" type="#_x0000_t75" style="width:22.5pt;height:18.75pt" o:ole="">
            <v:imagedata r:id="rId64" o:title=""/>
          </v:shape>
          <o:OLEObject Type="Embed" ProgID="Equation.AxMath" ShapeID="_x0000_i1056" DrawAspect="Content" ObjectID="_1837796753" r:id="rId65"/>
        </w:object>
      </w:r>
      <w:r>
        <w:rPr>
          <w:rFonts w:ascii="Times New Roman" w:eastAsia="宋体" w:hAnsi="Times New Roman"/>
        </w:rPr>
        <w:t>和</w:t>
      </w:r>
      <w:r>
        <w:rPr>
          <w:rFonts w:ascii="Times New Roman" w:eastAsia="宋体" w:hAnsi="Times New Roman"/>
          <w:position w:val="-10"/>
        </w:rPr>
        <w:object w:dxaOrig="443" w:dyaOrig="369" w14:anchorId="08D94113">
          <v:shape id="_x0000_i1057" type="#_x0000_t75" style="width:22.5pt;height:18.75pt" o:ole="">
            <v:imagedata r:id="rId66" o:title=""/>
          </v:shape>
          <o:OLEObject Type="Embed" ProgID="Equation.AxMath" ShapeID="_x0000_i1057" DrawAspect="Content" ObjectID="_1837796754" r:id="rId67"/>
        </w:object>
      </w:r>
      <w:r>
        <w:rPr>
          <w:rFonts w:ascii="Times New Roman" w:eastAsia="宋体" w:hAnsi="Times New Roman"/>
        </w:rPr>
        <w:t>表示蛋白</w:t>
      </w:r>
      <w:r>
        <w:rPr>
          <w:rFonts w:ascii="Times New Roman" w:eastAsia="宋体" w:hAnsi="Times New Roman"/>
        </w:rPr>
        <w:t>—</w:t>
      </w:r>
      <w:r>
        <w:rPr>
          <w:rFonts w:ascii="Times New Roman" w:eastAsia="宋体" w:hAnsi="Times New Roman"/>
        </w:rPr>
        <w:t>代谢之间的跨模态方向性关系。模型对模态内块施加无环约束，以保证其具有明确的方向性结构；对跨模态块则不强制施加无环限制，以保留潜在反馈机制的表达能力。</w:t>
      </w:r>
    </w:p>
    <w:p w14:paraId="18081A07" w14:textId="77777777" w:rsidR="00EA25D5" w:rsidRDefault="00000000" w:rsidP="003C1746">
      <w:pPr>
        <w:pStyle w:val="a9"/>
        <w:widowControl/>
        <w:spacing w:beforeAutospacing="0" w:afterAutospacing="0" w:line="360" w:lineRule="auto"/>
        <w:ind w:firstLine="420"/>
        <w:jc w:val="both"/>
        <w:rPr>
          <w:rFonts w:ascii="Times New Roman" w:eastAsia="宋体" w:hAnsi="Times New Roman"/>
        </w:rPr>
      </w:pPr>
      <w:r>
        <w:rPr>
          <w:rFonts w:ascii="Times New Roman" w:eastAsia="宋体" w:hAnsi="Times New Roman"/>
        </w:rPr>
        <w:t>为了在训练过程中可微地学习因果矩阵</w:t>
      </w:r>
      <w:r>
        <w:rPr>
          <w:rFonts w:ascii="Times New Roman" w:eastAsia="宋体" w:hAnsi="Times New Roman"/>
          <w:position w:val="-10"/>
        </w:rPr>
        <w:object w:dxaOrig="239" w:dyaOrig="369" w14:anchorId="11A2203D">
          <v:shape id="_x0000_i1058" type="#_x0000_t75" style="width:12pt;height:18.75pt" o:ole="">
            <v:imagedata r:id="rId56" o:title=""/>
          </v:shape>
          <o:OLEObject Type="Embed" ProgID="Equation.AxMath" ShapeID="_x0000_i1058" DrawAspect="Content" ObjectID="_1837796755" r:id="rId68"/>
        </w:object>
      </w:r>
      <w:r>
        <w:rPr>
          <w:rFonts w:ascii="Times New Roman" w:eastAsia="宋体" w:hAnsi="Times New Roman"/>
        </w:rPr>
        <w:t>，模型对每一条候选边引入门控参数与连续权重。对任意边</w:t>
      </w:r>
      <w:r>
        <w:rPr>
          <w:rFonts w:ascii="Times New Roman" w:eastAsia="宋体" w:hAnsi="Times New Roman"/>
          <w:position w:val="-12"/>
        </w:rPr>
        <w:object w:dxaOrig="494" w:dyaOrig="370" w14:anchorId="13BB8FB1">
          <v:shape id="_x0000_i1059" type="#_x0000_t75" style="width:24.75pt;height:18.75pt" o:ole="">
            <v:imagedata r:id="rId69" o:title=""/>
          </v:shape>
          <o:OLEObject Type="Embed" ProgID="Equation.AxMath" ShapeID="_x0000_i1059" DrawAspect="Content" ObjectID="_1837796756" r:id="rId70"/>
        </w:object>
      </w:r>
      <w:r>
        <w:rPr>
          <w:rFonts w:ascii="Times New Roman" w:eastAsia="宋体" w:hAnsi="Times New Roman"/>
        </w:rPr>
        <w:t>，设其结构参数为</w:t>
      </w:r>
      <w:r>
        <w:rPr>
          <w:rFonts w:ascii="Times New Roman" w:eastAsia="宋体" w:hAnsi="Times New Roman"/>
          <w:position w:val="-10"/>
        </w:rPr>
        <w:object w:dxaOrig="362" w:dyaOrig="369" w14:anchorId="1D843060">
          <v:shape id="_x0000_i1060" type="#_x0000_t75" style="width:18pt;height:18.75pt" o:ole="">
            <v:imagedata r:id="rId71" o:title=""/>
          </v:shape>
          <o:OLEObject Type="Embed" ProgID="Equation.AxMath" ShapeID="_x0000_i1060" DrawAspect="Content" ObjectID="_1837796757" r:id="rId72"/>
        </w:object>
      </w:r>
      <w:r>
        <w:rPr>
          <w:rFonts w:ascii="Times New Roman" w:eastAsia="宋体" w:hAnsi="Times New Roman"/>
        </w:rPr>
        <w:t>，边权为</w:t>
      </w:r>
      <w:r>
        <w:rPr>
          <w:rFonts w:ascii="Times New Roman" w:eastAsia="宋体" w:hAnsi="Times New Roman"/>
          <w:position w:val="-10"/>
        </w:rPr>
        <w:object w:dxaOrig="446" w:dyaOrig="369" w14:anchorId="734099C1">
          <v:shape id="_x0000_i1061" type="#_x0000_t75" style="width:22.5pt;height:18.75pt" o:ole="">
            <v:imagedata r:id="rId73" o:title=""/>
          </v:shape>
          <o:OLEObject Type="Embed" ProgID="Equation.AxMath" ShapeID="_x0000_i1061" DrawAspect="Content" ObjectID="_1837796758" r:id="rId74"/>
        </w:object>
      </w:r>
      <w:r>
        <w:rPr>
          <w:rFonts w:ascii="Times New Roman" w:eastAsia="宋体" w:hAnsi="Times New Roman"/>
        </w:rPr>
        <w:t>，则首先通过噪声扰动构造连续门控变量：</w:t>
      </w:r>
    </w:p>
    <w:p w14:paraId="09DB425B" w14:textId="712C1E24" w:rsidR="00EA25D5" w:rsidRDefault="00000000" w:rsidP="003C1746">
      <w:pPr>
        <w:pStyle w:val="AMDisplayEquation"/>
        <w:ind w:firstLine="420"/>
        <w:jc w:val="both"/>
        <w:rPr>
          <w:rFonts w:ascii="Times New Roman" w:hAnsi="Times New Roman" w:cs="Times New Roman"/>
        </w:rPr>
      </w:pPr>
      <w:r>
        <w:rPr>
          <w:rFonts w:ascii="Times New Roman" w:hAnsi="Times New Roman" w:cs="Times New Roman"/>
          <w:position w:val="-10"/>
        </w:rPr>
        <w:object w:dxaOrig="6003" w:dyaOrig="425" w14:anchorId="10577AE0">
          <v:shape id="_x0000_i1062" type="#_x0000_t75" style="width:300pt;height:21pt" o:ole="">
            <v:imagedata r:id="rId75" o:title=""/>
          </v:shape>
          <o:OLEObject Type="Embed" ProgID="Equation.AxMath" ShapeID="_x0000_i1062" DrawAspect="Content" ObjectID="_1837796759" r:id="rId76"/>
        </w:object>
      </w:r>
    </w:p>
    <w:p w14:paraId="3B8D5F4C" w14:textId="448D4344" w:rsidR="00EA25D5" w:rsidRDefault="00000000" w:rsidP="003C1746">
      <w:pPr>
        <w:pStyle w:val="AMDisplayEquation"/>
        <w:ind w:firstLine="420"/>
        <w:jc w:val="both"/>
        <w:rPr>
          <w:rFonts w:ascii="Times New Roman" w:hAnsi="Times New Roman" w:cs="Times New Roman"/>
        </w:rPr>
      </w:pPr>
      <w:r>
        <w:rPr>
          <w:rFonts w:ascii="Times New Roman" w:hAnsi="Times New Roman" w:cs="Times New Roman"/>
          <w:position w:val="-24"/>
        </w:rPr>
        <w:object w:dxaOrig="2354" w:dyaOrig="850" w14:anchorId="07119D4C">
          <v:shape id="_x0000_i1063" type="#_x0000_t75" style="width:117.75pt;height:42.75pt" o:ole="">
            <v:imagedata r:id="rId77" o:title=""/>
          </v:shape>
          <o:OLEObject Type="Embed" ProgID="Equation.AxMath" ShapeID="_x0000_i1063" DrawAspect="Content" ObjectID="_1837796760" r:id="rId78"/>
        </w:object>
      </w:r>
    </w:p>
    <w:p w14:paraId="398DAFF7" w14:textId="7A5A5FBE" w:rsidR="00EA25D5" w:rsidRDefault="00000000" w:rsidP="003C1746">
      <w:pPr>
        <w:pStyle w:val="AMDisplayEquation"/>
        <w:ind w:firstLine="420"/>
        <w:jc w:val="both"/>
        <w:rPr>
          <w:rFonts w:ascii="Times New Roman" w:hAnsi="Times New Roman" w:cs="Times New Roman"/>
        </w:rPr>
      </w:pPr>
      <w:r>
        <w:rPr>
          <w:rFonts w:ascii="Times New Roman" w:hAnsi="Times New Roman" w:cs="Times New Roman"/>
          <w:position w:val="-10"/>
        </w:rPr>
        <w:object w:dxaOrig="1666" w:dyaOrig="425" w14:anchorId="49CC2FBF">
          <v:shape id="_x0000_i1064" type="#_x0000_t75" style="width:83.25pt;height:21pt" o:ole="">
            <v:imagedata r:id="rId79" o:title=""/>
          </v:shape>
          <o:OLEObject Type="Embed" ProgID="Equation.AxMath" ShapeID="_x0000_i1064" DrawAspect="Content" ObjectID="_1837796761" r:id="rId80"/>
        </w:object>
      </w:r>
    </w:p>
    <w:p w14:paraId="0BA469E8" w14:textId="77777777" w:rsidR="00EA25D5" w:rsidRDefault="00000000" w:rsidP="003C1746">
      <w:pPr>
        <w:spacing w:after="0" w:line="360" w:lineRule="auto"/>
        <w:ind w:firstLine="420"/>
        <w:jc w:val="both"/>
        <w:rPr>
          <w:rFonts w:ascii="Times New Roman" w:eastAsia="宋体" w:hAnsi="Times New Roman" w:cs="Times New Roman"/>
          <w:sz w:val="24"/>
        </w:rPr>
      </w:pPr>
      <w:r>
        <w:rPr>
          <w:rFonts w:ascii="Times New Roman" w:eastAsia="宋体" w:hAnsi="Times New Roman" w:cs="Times New Roman"/>
          <w:sz w:val="24"/>
        </w:rPr>
        <w:t>其中，</w:t>
      </w:r>
      <w:r>
        <w:rPr>
          <w:rFonts w:ascii="Times New Roman" w:eastAsia="宋体" w:hAnsi="Times New Roman" w:cs="Times New Roman"/>
          <w:position w:val="-10"/>
          <w:sz w:val="24"/>
        </w:rPr>
        <w:object w:dxaOrig="194" w:dyaOrig="356" w14:anchorId="395082A3">
          <v:shape id="_x0000_i1065" type="#_x0000_t75" style="width:9.75pt;height:18pt" o:ole="">
            <v:imagedata r:id="rId81" o:title=""/>
          </v:shape>
          <o:OLEObject Type="Embed" ProgID="Equation.AxMath" ShapeID="_x0000_i1065" DrawAspect="Content" ObjectID="_1837796762" r:id="rId82"/>
        </w:object>
      </w:r>
      <w:r>
        <w:rPr>
          <w:rFonts w:ascii="Times New Roman" w:eastAsia="宋体" w:hAnsi="Times New Roman" w:cs="Times New Roman"/>
          <w:sz w:val="24"/>
        </w:rPr>
        <w:t>为温度参数，为</w:t>
      </w:r>
      <w:r>
        <w:rPr>
          <w:rFonts w:ascii="Times New Roman" w:eastAsia="宋体" w:hAnsi="Times New Roman" w:cs="Times New Roman"/>
          <w:position w:val="-12"/>
          <w:sz w:val="24"/>
        </w:rPr>
        <w:object w:dxaOrig="477" w:dyaOrig="370" w14:anchorId="60B06F4B">
          <v:shape id="_x0000_i1066" type="#_x0000_t75" style="width:24pt;height:18.75pt" o:ole="">
            <v:imagedata r:id="rId83" o:title=""/>
          </v:shape>
          <o:OLEObject Type="Embed" ProgID="Equation.AxMath" ShapeID="_x0000_i1066" DrawAspect="Content" ObjectID="_1837796763" r:id="rId84"/>
        </w:object>
      </w:r>
      <w:r>
        <w:rPr>
          <w:rFonts w:ascii="Times New Roman" w:eastAsia="宋体" w:hAnsi="Times New Roman" w:cs="Times New Roman"/>
          <w:sz w:val="24"/>
        </w:rPr>
        <w:t xml:space="preserve"> Sigmoid </w:t>
      </w:r>
      <w:r>
        <w:rPr>
          <w:rFonts w:ascii="Times New Roman" w:eastAsia="宋体" w:hAnsi="Times New Roman" w:cs="Times New Roman"/>
          <w:sz w:val="24"/>
        </w:rPr>
        <w:t>函数。该过程本质上是一种连续松弛采样策略：在训练早期，较大的温度参数使边门控保持平滑，有利于结构搜索；随着训练推进，温度逐渐降低，门控变量逐步逼近离散选择，从而得到更加清晰、更加稀疏的潜在因果图。通过这种方式，模型能够在保持可导性的前提下完成因果结构学习。</w:t>
      </w:r>
    </w:p>
    <w:p w14:paraId="3D7F8E39" w14:textId="77777777" w:rsidR="00EA25D5" w:rsidRDefault="00000000" w:rsidP="003C1746">
      <w:pPr>
        <w:spacing w:after="0" w:line="360" w:lineRule="auto"/>
        <w:ind w:firstLine="420"/>
        <w:jc w:val="both"/>
        <w:rPr>
          <w:rFonts w:ascii="Times New Roman" w:eastAsia="宋体" w:hAnsi="Times New Roman" w:cs="Times New Roman"/>
          <w:sz w:val="24"/>
        </w:rPr>
      </w:pPr>
      <w:r>
        <w:rPr>
          <w:rFonts w:ascii="Times New Roman" w:eastAsia="宋体" w:hAnsi="Times New Roman" w:cs="Times New Roman"/>
          <w:sz w:val="24"/>
        </w:rPr>
        <w:t>在潜在因果图学习完成后，模型利用线性共享解码器将潜在结构映射回真实分子特征空间。记共享解码器构成的块对角矩阵为</w:t>
      </w:r>
    </w:p>
    <w:p w14:paraId="617FE93C" w14:textId="7817E645" w:rsidR="00EA25D5" w:rsidRDefault="00000000" w:rsidP="003C1746">
      <w:pPr>
        <w:pStyle w:val="AMDisplayEquation"/>
        <w:spacing w:line="360" w:lineRule="auto"/>
        <w:ind w:firstLine="420"/>
        <w:jc w:val="both"/>
        <w:rPr>
          <w:rFonts w:ascii="Times New Roman" w:hAnsi="Times New Roman" w:cs="Times New Roman"/>
        </w:rPr>
      </w:pPr>
      <w:r>
        <w:rPr>
          <w:rFonts w:ascii="Times New Roman" w:hAnsi="Times New Roman" w:cs="Times New Roman"/>
          <w:position w:val="-10"/>
        </w:rPr>
        <w:object w:dxaOrig="3034" w:dyaOrig="425" w14:anchorId="6BAA8668">
          <v:shape id="_x0000_i1067" type="#_x0000_t75" style="width:151.5pt;height:21pt" o:ole="">
            <v:imagedata r:id="rId85" o:title=""/>
          </v:shape>
          <o:OLEObject Type="Embed" ProgID="Equation.AxMath" ShapeID="_x0000_i1067" DrawAspect="Content" ObjectID="_1837796764" r:id="rId86"/>
        </w:object>
      </w:r>
    </w:p>
    <w:p w14:paraId="03239C69" w14:textId="77777777" w:rsidR="00EA25D5" w:rsidRDefault="00000000" w:rsidP="003C1746">
      <w:pPr>
        <w:spacing w:after="0" w:line="360" w:lineRule="auto"/>
        <w:ind w:firstLine="420"/>
        <w:jc w:val="both"/>
        <w:rPr>
          <w:rFonts w:ascii="Times New Roman" w:eastAsia="宋体" w:hAnsi="Times New Roman" w:cs="Times New Roman"/>
          <w:sz w:val="24"/>
        </w:rPr>
      </w:pPr>
      <w:r>
        <w:rPr>
          <w:rFonts w:ascii="Times New Roman" w:eastAsia="宋体" w:hAnsi="Times New Roman" w:cs="Times New Roman"/>
          <w:sz w:val="24"/>
        </w:rPr>
        <w:t>则特征层因果图可表示为</w:t>
      </w:r>
    </w:p>
    <w:p w14:paraId="0834140E" w14:textId="47E9D4C9" w:rsidR="00EA25D5" w:rsidRDefault="00000000" w:rsidP="003C1746">
      <w:pPr>
        <w:pStyle w:val="AMDisplayEquation"/>
        <w:spacing w:line="360" w:lineRule="auto"/>
        <w:ind w:firstLine="420"/>
        <w:jc w:val="both"/>
        <w:rPr>
          <w:rFonts w:ascii="Times New Roman" w:hAnsi="Times New Roman" w:cs="Times New Roman"/>
        </w:rPr>
      </w:pPr>
      <w:r>
        <w:rPr>
          <w:rFonts w:ascii="Times New Roman" w:hAnsi="Times New Roman" w:cs="Times New Roman"/>
          <w:position w:val="-10"/>
        </w:rPr>
        <w:object w:dxaOrig="1513" w:dyaOrig="425" w14:anchorId="07F32EC8">
          <v:shape id="_x0000_i1068" type="#_x0000_t75" style="width:75.75pt;height:21pt" o:ole="">
            <v:imagedata r:id="rId87" o:title=""/>
          </v:shape>
          <o:OLEObject Type="Embed" ProgID="Equation.AxMath" ShapeID="_x0000_i1068" DrawAspect="Content" ObjectID="_1837796765" r:id="rId88"/>
        </w:object>
      </w:r>
    </w:p>
    <w:p w14:paraId="50F2217F" w14:textId="77777777" w:rsidR="00EA25D5" w:rsidRDefault="00000000" w:rsidP="003C1746">
      <w:pPr>
        <w:spacing w:after="0" w:line="360" w:lineRule="auto"/>
        <w:ind w:firstLine="420"/>
        <w:jc w:val="both"/>
        <w:rPr>
          <w:rFonts w:ascii="Times New Roman" w:eastAsia="宋体" w:hAnsi="Times New Roman" w:cs="Times New Roman"/>
          <w:b/>
          <w:bCs/>
          <w:sz w:val="24"/>
        </w:rPr>
      </w:pPr>
      <w:r>
        <w:rPr>
          <w:rFonts w:ascii="Times New Roman" w:eastAsia="宋体" w:hAnsi="Times New Roman" w:cs="Times New Roman"/>
          <w:sz w:val="24"/>
        </w:rPr>
        <w:t>由此可进一步得到蛋白</w:t>
      </w:r>
      <w:r>
        <w:rPr>
          <w:rFonts w:ascii="Times New Roman" w:eastAsia="宋体" w:hAnsi="Times New Roman" w:cs="Times New Roman"/>
          <w:sz w:val="24"/>
        </w:rPr>
        <w:t>—</w:t>
      </w:r>
      <w:r>
        <w:rPr>
          <w:rFonts w:ascii="Times New Roman" w:eastAsia="宋体" w:hAnsi="Times New Roman" w:cs="Times New Roman"/>
          <w:sz w:val="24"/>
        </w:rPr>
        <w:t>蛋白、蛋白</w:t>
      </w:r>
      <w:r>
        <w:rPr>
          <w:rFonts w:ascii="Times New Roman" w:eastAsia="宋体" w:hAnsi="Times New Roman" w:cs="Times New Roman"/>
          <w:sz w:val="24"/>
        </w:rPr>
        <w:t>—</w:t>
      </w:r>
      <w:r>
        <w:rPr>
          <w:rFonts w:ascii="Times New Roman" w:eastAsia="宋体" w:hAnsi="Times New Roman" w:cs="Times New Roman"/>
          <w:sz w:val="24"/>
        </w:rPr>
        <w:t>代谢、代谢</w:t>
      </w:r>
      <w:r>
        <w:rPr>
          <w:rFonts w:ascii="Times New Roman" w:eastAsia="宋体" w:hAnsi="Times New Roman" w:cs="Times New Roman"/>
          <w:sz w:val="24"/>
        </w:rPr>
        <w:t>—</w:t>
      </w:r>
      <w:r>
        <w:rPr>
          <w:rFonts w:ascii="Times New Roman" w:eastAsia="宋体" w:hAnsi="Times New Roman" w:cs="Times New Roman"/>
          <w:sz w:val="24"/>
        </w:rPr>
        <w:t>蛋白和代谢</w:t>
      </w:r>
      <w:r>
        <w:rPr>
          <w:rFonts w:ascii="Times New Roman" w:eastAsia="宋体" w:hAnsi="Times New Roman" w:cs="Times New Roman"/>
          <w:sz w:val="24"/>
        </w:rPr>
        <w:t>—</w:t>
      </w:r>
      <w:r>
        <w:rPr>
          <w:rFonts w:ascii="Times New Roman" w:eastAsia="宋体" w:hAnsi="Times New Roman" w:cs="Times New Roman"/>
          <w:sz w:val="24"/>
        </w:rPr>
        <w:t>代谢四类特征层关系，并据此提取关键边和候选桥接分子。该设计实现了</w:t>
      </w:r>
      <w:r>
        <w:rPr>
          <w:rFonts w:ascii="Times New Roman" w:eastAsia="宋体" w:hAnsi="Times New Roman" w:cs="Times New Roman"/>
          <w:sz w:val="24"/>
        </w:rPr>
        <w:t>“</w:t>
      </w:r>
      <w:r>
        <w:rPr>
          <w:rFonts w:ascii="Times New Roman" w:eastAsia="宋体" w:hAnsi="Times New Roman" w:cs="Times New Roman"/>
          <w:sz w:val="24"/>
        </w:rPr>
        <w:t>潜在空间学习结构</w:t>
      </w:r>
      <w:r>
        <w:rPr>
          <w:rFonts w:ascii="Times New Roman" w:eastAsia="宋体" w:hAnsi="Times New Roman" w:cs="Times New Roman"/>
          <w:sz w:val="24"/>
        </w:rPr>
        <w:t>—</w:t>
      </w:r>
      <w:r>
        <w:rPr>
          <w:rFonts w:ascii="Times New Roman" w:eastAsia="宋体" w:hAnsi="Times New Roman" w:cs="Times New Roman"/>
          <w:sz w:val="24"/>
        </w:rPr>
        <w:t>特征空间解释结果</w:t>
      </w:r>
      <w:r>
        <w:rPr>
          <w:rFonts w:ascii="Times New Roman" w:eastAsia="宋体" w:hAnsi="Times New Roman" w:cs="Times New Roman"/>
          <w:sz w:val="24"/>
        </w:rPr>
        <w:t>”</w:t>
      </w:r>
      <w:r>
        <w:rPr>
          <w:rFonts w:ascii="Times New Roman" w:eastAsia="宋体" w:hAnsi="Times New Roman" w:cs="Times New Roman"/>
          <w:sz w:val="24"/>
        </w:rPr>
        <w:t>的统一。</w:t>
      </w:r>
    </w:p>
    <w:p w14:paraId="73FBEFBF" w14:textId="77777777" w:rsidR="00EA25D5" w:rsidRDefault="00000000" w:rsidP="003C1746">
      <w:pPr>
        <w:spacing w:after="0" w:line="360" w:lineRule="auto"/>
        <w:jc w:val="both"/>
        <w:outlineLvl w:val="1"/>
        <w:rPr>
          <w:rFonts w:ascii="Times New Roman" w:eastAsia="宋体" w:hAnsi="Times New Roman" w:cs="Times New Roman"/>
          <w:b/>
          <w:bCs/>
          <w:sz w:val="24"/>
        </w:rPr>
      </w:pPr>
      <w:r>
        <w:rPr>
          <w:rFonts w:ascii="Times New Roman" w:eastAsia="宋体" w:hAnsi="Times New Roman" w:cs="Times New Roman"/>
          <w:b/>
          <w:bCs/>
          <w:sz w:val="24"/>
        </w:rPr>
        <w:t>训练与优化</w:t>
      </w:r>
    </w:p>
    <w:p w14:paraId="23297583" w14:textId="77777777" w:rsidR="00EA25D5" w:rsidRDefault="00000000" w:rsidP="003C1746">
      <w:pPr>
        <w:spacing w:after="0" w:line="360" w:lineRule="auto"/>
        <w:ind w:firstLine="420"/>
        <w:jc w:val="both"/>
        <w:rPr>
          <w:rFonts w:ascii="Times New Roman" w:eastAsia="宋体" w:hAnsi="Times New Roman" w:cs="Times New Roman"/>
          <w:sz w:val="24"/>
        </w:rPr>
      </w:pPr>
      <w:r>
        <w:rPr>
          <w:rFonts w:ascii="Times New Roman" w:eastAsia="宋体" w:hAnsi="Times New Roman" w:cs="Times New Roman"/>
          <w:sz w:val="24"/>
        </w:rPr>
        <w:t>模型整体采用由重构项、变分正则项、结构约束项和表型监督项构成的联合目标函数：</w:t>
      </w:r>
    </w:p>
    <w:p w14:paraId="088DF7A3" w14:textId="7094F643" w:rsidR="00EA25D5" w:rsidRDefault="00000000" w:rsidP="003C1746">
      <w:pPr>
        <w:pStyle w:val="AMDisplayEquation"/>
        <w:spacing w:after="0" w:line="360" w:lineRule="auto"/>
        <w:ind w:firstLine="420"/>
        <w:jc w:val="both"/>
        <w:rPr>
          <w:rFonts w:ascii="Times New Roman" w:eastAsia="宋体" w:hAnsi="Times New Roman" w:cs="Times New Roman"/>
          <w:sz w:val="24"/>
        </w:rPr>
      </w:pPr>
      <w:r>
        <w:rPr>
          <w:rFonts w:ascii="Times New Roman" w:hAnsi="Times New Roman" w:cs="Times New Roman"/>
          <w:position w:val="-30"/>
        </w:rPr>
        <w:object w:dxaOrig="8462" w:dyaOrig="907" w14:anchorId="175670D2">
          <v:shape id="_x0000_i1069" type="#_x0000_t75" style="width:423pt;height:45pt" o:ole="">
            <v:imagedata r:id="rId89" o:title=""/>
          </v:shape>
          <o:OLEObject Type="Embed" ProgID="Equation.AxMath" ShapeID="_x0000_i1069" DrawAspect="Content" ObjectID="_1837796766" r:id="rId90"/>
        </w:object>
      </w:r>
      <w:r>
        <w:rPr>
          <w:rFonts w:ascii="Times New Roman" w:eastAsia="宋体" w:hAnsi="Times New Roman" w:cs="Times New Roman"/>
          <w:sz w:val="24"/>
        </w:rPr>
        <w:t>其中，</w:t>
      </w:r>
      <w:r>
        <w:rPr>
          <w:rFonts w:ascii="Times New Roman" w:eastAsia="宋体" w:hAnsi="Times New Roman" w:cs="Times New Roman"/>
          <w:position w:val="-10"/>
          <w:sz w:val="24"/>
        </w:rPr>
        <w:object w:dxaOrig="429" w:dyaOrig="369" w14:anchorId="6A32EAAC">
          <v:shape id="_x0000_i1070" type="#_x0000_t75" style="width:21.75pt;height:18.75pt" o:ole="">
            <v:imagedata r:id="rId91" o:title=""/>
          </v:shape>
          <o:OLEObject Type="Embed" ProgID="Equation.AxMath" ShapeID="_x0000_i1070" DrawAspect="Content" ObjectID="_1837796767" r:id="rId92"/>
        </w:object>
      </w:r>
      <w:r>
        <w:rPr>
          <w:rFonts w:ascii="Times New Roman" w:eastAsia="宋体" w:hAnsi="Times New Roman" w:cs="Times New Roman"/>
          <w:sz w:val="24"/>
        </w:rPr>
        <w:t>为基于观测掩码的重构误差，仅在真实观测位置计算；</w:t>
      </w:r>
      <w:r>
        <w:rPr>
          <w:rFonts w:ascii="Times New Roman" w:eastAsia="宋体" w:hAnsi="Times New Roman" w:cs="Times New Roman"/>
          <w:position w:val="-10"/>
          <w:sz w:val="24"/>
        </w:rPr>
        <w:object w:dxaOrig="387" w:dyaOrig="373" w14:anchorId="3E61C624">
          <v:shape id="_x0000_i1071" type="#_x0000_t75" style="width:19.5pt;height:18.75pt" o:ole="">
            <v:imagedata r:id="rId93" o:title=""/>
          </v:shape>
          <o:OLEObject Type="Embed" ProgID="Equation.AxMath" ShapeID="_x0000_i1071" DrawAspect="Content" ObjectID="_1837796768" r:id="rId94"/>
        </w:object>
      </w:r>
      <w:r>
        <w:rPr>
          <w:rFonts w:ascii="Times New Roman" w:eastAsia="宋体" w:hAnsi="Times New Roman" w:cs="Times New Roman"/>
          <w:sz w:val="24"/>
        </w:rPr>
        <w:t>和</w:t>
      </w:r>
      <w:r>
        <w:rPr>
          <w:rFonts w:ascii="Times New Roman" w:eastAsia="宋体" w:hAnsi="Times New Roman" w:cs="Times New Roman"/>
          <w:sz w:val="24"/>
        </w:rPr>
        <w:t xml:space="preserve"> </w:t>
      </w:r>
      <w:r>
        <w:rPr>
          <w:rFonts w:ascii="Times New Roman" w:eastAsia="宋体" w:hAnsi="Times New Roman" w:cs="Times New Roman"/>
          <w:position w:val="-10"/>
          <w:sz w:val="24"/>
        </w:rPr>
        <w:object w:dxaOrig="409" w:dyaOrig="373" w14:anchorId="47FB1E02">
          <v:shape id="_x0000_i1072" type="#_x0000_t75" style="width:20.25pt;height:18.75pt" o:ole="">
            <v:imagedata r:id="rId95" o:title=""/>
          </v:shape>
          <o:OLEObject Type="Embed" ProgID="Equation.AxMath" ShapeID="_x0000_i1072" DrawAspect="Content" ObjectID="_1837796769" r:id="rId96"/>
        </w:object>
      </w:r>
      <w:r>
        <w:rPr>
          <w:rFonts w:ascii="Times New Roman" w:eastAsia="宋体" w:hAnsi="Times New Roman" w:cs="Times New Roman"/>
          <w:sz w:val="24"/>
        </w:rPr>
        <w:t>分别约束共享潜变量与私有潜变量的分布；</w:t>
      </w:r>
      <w:r>
        <w:rPr>
          <w:rFonts w:ascii="Times New Roman" w:eastAsia="宋体" w:hAnsi="Times New Roman" w:cs="Times New Roman"/>
          <w:position w:val="-10"/>
          <w:sz w:val="24"/>
        </w:rPr>
        <w:object w:dxaOrig="425" w:dyaOrig="359" w14:anchorId="07BAFEC8">
          <v:shape id="_x0000_i1073" type="#_x0000_t75" style="width:21pt;height:18pt" o:ole="">
            <v:imagedata r:id="rId97" o:title=""/>
          </v:shape>
          <o:OLEObject Type="Embed" ProgID="Equation.AxMath" ShapeID="_x0000_i1073" DrawAspect="Content" ObjectID="_1837796770" r:id="rId98"/>
        </w:object>
      </w:r>
      <w:r>
        <w:rPr>
          <w:rFonts w:ascii="Times New Roman" w:eastAsia="宋体" w:hAnsi="Times New Roman" w:cs="Times New Roman"/>
          <w:sz w:val="24"/>
        </w:rPr>
        <w:t>用于削弱共享通道与私有通道之间的统计依赖；</w:t>
      </w:r>
      <w:r>
        <w:rPr>
          <w:rFonts w:ascii="Times New Roman" w:eastAsia="宋体" w:hAnsi="Times New Roman" w:cs="Times New Roman"/>
          <w:position w:val="-10"/>
          <w:sz w:val="24"/>
        </w:rPr>
        <w:object w:dxaOrig="435" w:dyaOrig="359" w14:anchorId="2BCD0025">
          <v:shape id="_x0000_i1074" type="#_x0000_t75" style="width:21.75pt;height:18pt" o:ole="">
            <v:imagedata r:id="rId99" o:title=""/>
          </v:shape>
          <o:OLEObject Type="Embed" ProgID="Equation.AxMath" ShapeID="_x0000_i1074" DrawAspect="Content" ObjectID="_1837796771" r:id="rId100"/>
        </w:object>
      </w:r>
      <w:r>
        <w:rPr>
          <w:rFonts w:ascii="Times New Roman" w:eastAsia="宋体" w:hAnsi="Times New Roman" w:cs="Times New Roman"/>
          <w:sz w:val="24"/>
        </w:rPr>
        <w:t>、</w:t>
      </w:r>
      <w:r>
        <w:rPr>
          <w:rFonts w:ascii="Times New Roman" w:eastAsia="宋体" w:hAnsi="Times New Roman" w:cs="Times New Roman"/>
          <w:position w:val="-10"/>
          <w:sz w:val="24"/>
        </w:rPr>
        <w:object w:dxaOrig="636" w:dyaOrig="359" w14:anchorId="728B5BD6">
          <v:shape id="_x0000_i1075" type="#_x0000_t75" style="width:31.5pt;height:18pt" o:ole="">
            <v:imagedata r:id="rId101" o:title=""/>
          </v:shape>
          <o:OLEObject Type="Embed" ProgID="Equation.AxMath" ShapeID="_x0000_i1075" DrawAspect="Content" ObjectID="_1837796772" r:id="rId102"/>
        </w:object>
      </w:r>
      <w:r>
        <w:rPr>
          <w:rFonts w:ascii="Times New Roman" w:eastAsia="宋体" w:hAnsi="Times New Roman" w:cs="Times New Roman"/>
          <w:sz w:val="24"/>
        </w:rPr>
        <w:t>和</w:t>
      </w:r>
      <w:r>
        <w:rPr>
          <w:rFonts w:ascii="Times New Roman" w:eastAsia="宋体" w:hAnsi="Times New Roman" w:cs="Times New Roman"/>
          <w:position w:val="-10"/>
          <w:sz w:val="24"/>
        </w:rPr>
        <w:object w:dxaOrig="592" w:dyaOrig="359" w14:anchorId="674F1D1F">
          <v:shape id="_x0000_i1076" type="#_x0000_t75" style="width:29.25pt;height:18pt" o:ole="">
            <v:imagedata r:id="rId103" o:title=""/>
          </v:shape>
          <o:OLEObject Type="Embed" ProgID="Equation.AxMath" ShapeID="_x0000_i1076" DrawAspect="Content" ObjectID="_1837796773" r:id="rId104"/>
        </w:object>
      </w:r>
      <w:r>
        <w:rPr>
          <w:rFonts w:ascii="Times New Roman" w:eastAsia="宋体" w:hAnsi="Times New Roman" w:cs="Times New Roman"/>
          <w:sz w:val="24"/>
        </w:rPr>
        <w:t>分别对应无环约束、结构稀疏约束和谱半径稳定性约束；</w:t>
      </w:r>
      <w:r>
        <w:rPr>
          <w:rFonts w:ascii="Times New Roman" w:eastAsia="宋体" w:hAnsi="Times New Roman" w:cs="Times New Roman"/>
          <w:position w:val="-10"/>
          <w:sz w:val="24"/>
        </w:rPr>
        <w:object w:dxaOrig="565" w:dyaOrig="359" w14:anchorId="611D1C2E">
          <v:shape id="_x0000_i1077" type="#_x0000_t75" style="width:28.5pt;height:18pt" o:ole="">
            <v:imagedata r:id="rId105" o:title=""/>
          </v:shape>
          <o:OLEObject Type="Embed" ProgID="Equation.AxMath" ShapeID="_x0000_i1077" DrawAspect="Content" ObjectID="_1837796774" r:id="rId106"/>
        </w:object>
      </w:r>
      <w:r>
        <w:rPr>
          <w:rFonts w:ascii="Times New Roman" w:eastAsia="宋体" w:hAnsi="Times New Roman" w:cs="Times New Roman"/>
          <w:sz w:val="24"/>
        </w:rPr>
        <w:t>、</w:t>
      </w:r>
      <w:r>
        <w:rPr>
          <w:rFonts w:ascii="Times New Roman" w:eastAsia="宋体" w:hAnsi="Times New Roman" w:cs="Times New Roman"/>
          <w:position w:val="-10"/>
          <w:sz w:val="24"/>
        </w:rPr>
        <w:object w:dxaOrig="426" w:dyaOrig="359" w14:anchorId="34CEFC75">
          <v:shape id="_x0000_i1078" type="#_x0000_t75" style="width:21pt;height:18pt" o:ole="">
            <v:imagedata r:id="rId107" o:title=""/>
          </v:shape>
          <o:OLEObject Type="Embed" ProgID="Equation.AxMath" ShapeID="_x0000_i1078" DrawAspect="Content" ObjectID="_1837796775" r:id="rId108"/>
        </w:object>
      </w:r>
      <w:r>
        <w:rPr>
          <w:rFonts w:ascii="Times New Roman" w:eastAsia="宋体" w:hAnsi="Times New Roman" w:cs="Times New Roman"/>
          <w:sz w:val="24"/>
        </w:rPr>
        <w:t>用于增强线性投影的可解释性；</w:t>
      </w:r>
      <w:r>
        <w:rPr>
          <w:rFonts w:ascii="Times New Roman" w:eastAsia="宋体" w:hAnsi="Times New Roman" w:cs="Times New Roman"/>
          <w:position w:val="-10"/>
          <w:sz w:val="24"/>
        </w:rPr>
        <w:object w:dxaOrig="418" w:dyaOrig="362" w14:anchorId="03B7F5FD">
          <v:shape id="_x0000_i1079" type="#_x0000_t75" style="width:21pt;height:18pt" o:ole="">
            <v:imagedata r:id="rId109" o:title=""/>
          </v:shape>
          <o:OLEObject Type="Embed" ProgID="Equation.AxMath" ShapeID="_x0000_i1079" DrawAspect="Content" ObjectID="_1837796776" r:id="rId110"/>
        </w:object>
      </w:r>
      <w:r>
        <w:rPr>
          <w:rFonts w:ascii="Times New Roman" w:eastAsia="宋体" w:hAnsi="Times New Roman" w:cs="Times New Roman"/>
          <w:sz w:val="24"/>
        </w:rPr>
        <w:t>和</w:t>
      </w:r>
      <w:r>
        <w:rPr>
          <w:rFonts w:ascii="Times New Roman" w:eastAsia="宋体" w:hAnsi="Times New Roman" w:cs="Times New Roman"/>
          <w:position w:val="-10"/>
          <w:sz w:val="24"/>
        </w:rPr>
        <w:object w:dxaOrig="418" w:dyaOrig="362" w14:anchorId="4364AA73">
          <v:shape id="_x0000_i1080" type="#_x0000_t75" style="width:21pt;height:18pt" o:ole="">
            <v:imagedata r:id="rId111" o:title=""/>
          </v:shape>
          <o:OLEObject Type="Embed" ProgID="Equation.AxMath" ShapeID="_x0000_i1080" DrawAspect="Content" ObjectID="_1837796777" r:id="rId112"/>
        </w:object>
      </w:r>
      <w:r>
        <w:rPr>
          <w:rFonts w:ascii="Times New Roman" w:eastAsia="宋体" w:hAnsi="Times New Roman" w:cs="Times New Roman"/>
          <w:sz w:val="24"/>
        </w:rPr>
        <w:t>分别对应连续表型和二元表型监督。该联合目标同时兼顾了高维表示学习、潜在结构恢复以及特征层机制解释三个目标。</w:t>
      </w:r>
    </w:p>
    <w:p w14:paraId="4961E1E9" w14:textId="77777777" w:rsidR="00EA25D5" w:rsidRDefault="00000000" w:rsidP="003C1746">
      <w:pPr>
        <w:spacing w:after="0" w:line="360" w:lineRule="auto"/>
        <w:ind w:firstLine="420"/>
        <w:jc w:val="both"/>
        <w:rPr>
          <w:rFonts w:ascii="Times New Roman" w:eastAsia="宋体" w:hAnsi="Times New Roman" w:cs="Times New Roman"/>
          <w:sz w:val="24"/>
        </w:rPr>
      </w:pPr>
      <w:r>
        <w:rPr>
          <w:rFonts w:ascii="Times New Roman" w:eastAsia="宋体" w:hAnsi="Times New Roman" w:cs="Times New Roman"/>
          <w:sz w:val="24"/>
        </w:rPr>
        <w:t>在训练策略上，模型采用</w:t>
      </w:r>
      <w:r>
        <w:rPr>
          <w:rFonts w:ascii="Times New Roman" w:eastAsia="宋体" w:hAnsi="Times New Roman" w:cs="Times New Roman"/>
          <w:sz w:val="24"/>
        </w:rPr>
        <w:t>“</w:t>
      </w:r>
      <w:r>
        <w:rPr>
          <w:rFonts w:ascii="Times New Roman" w:eastAsia="宋体" w:hAnsi="Times New Roman" w:cs="Times New Roman"/>
          <w:sz w:val="24"/>
        </w:rPr>
        <w:t>单模态预训练</w:t>
      </w:r>
      <w:r>
        <w:rPr>
          <w:rFonts w:ascii="Times New Roman" w:eastAsia="宋体" w:hAnsi="Times New Roman" w:cs="Times New Roman"/>
          <w:sz w:val="24"/>
        </w:rPr>
        <w:t>—</w:t>
      </w:r>
      <w:r>
        <w:rPr>
          <w:rFonts w:ascii="Times New Roman" w:eastAsia="宋体" w:hAnsi="Times New Roman" w:cs="Times New Roman"/>
          <w:sz w:val="24"/>
        </w:rPr>
        <w:t>跨模态联合训练</w:t>
      </w:r>
      <w:r>
        <w:rPr>
          <w:rFonts w:ascii="Times New Roman" w:eastAsia="宋体" w:hAnsi="Times New Roman" w:cs="Times New Roman"/>
          <w:sz w:val="24"/>
        </w:rPr>
        <w:t>”</w:t>
      </w:r>
      <w:r>
        <w:rPr>
          <w:rFonts w:ascii="Times New Roman" w:eastAsia="宋体" w:hAnsi="Times New Roman" w:cs="Times New Roman"/>
          <w:sz w:val="24"/>
        </w:rPr>
        <w:t>的分阶段优化流程。第一阶段在蛋白模态可用样本上进行蛋白自编码预训练，以获得稳定的蛋白组表示；第二阶段在代谢模态可用样本上进行代谢自编码预训练，以获得稳定的代谢组表示；第三阶段在蛋白和代谢同时可用的配对子集上进行联合训练，共同优化编码器、潜在因果结构模块、解码器及表型预测头。该训练策略的核心目的在于先稳定模态内表示，再集中学习跨模态方向性结构，从而提高部分多模态场景下结构学习的有效性。</w:t>
      </w:r>
    </w:p>
    <w:p w14:paraId="4B247C3D" w14:textId="1DB860FA" w:rsidR="00EA25D5" w:rsidRDefault="00000000" w:rsidP="003C1746">
      <w:pPr>
        <w:pStyle w:val="AMDisplayEquation"/>
        <w:spacing w:line="360" w:lineRule="auto"/>
        <w:ind w:firstLine="420"/>
        <w:jc w:val="both"/>
        <w:rPr>
          <w:rFonts w:ascii="Times New Roman" w:hAnsi="Times New Roman" w:cs="Times New Roman"/>
        </w:rPr>
      </w:pPr>
      <w:r>
        <w:rPr>
          <w:rFonts w:ascii="Times New Roman" w:hAnsi="Times New Roman" w:cs="Times New Roman"/>
          <w:position w:val="-10"/>
        </w:rPr>
        <w:object w:dxaOrig="5016" w:dyaOrig="425" w14:anchorId="07EBD8D2">
          <v:shape id="_x0000_i1081" type="#_x0000_t75" style="width:250.5pt;height:21pt" o:ole="">
            <v:imagedata r:id="rId113" o:title=""/>
          </v:shape>
          <o:OLEObject Type="Embed" ProgID="Equation.AxMath" ShapeID="_x0000_i1081" DrawAspect="Content" ObjectID="_1837796778" r:id="rId114"/>
        </w:object>
      </w:r>
    </w:p>
    <w:p w14:paraId="51BF0CC5" w14:textId="456D1B61" w:rsidR="00EA25D5" w:rsidRDefault="00000000" w:rsidP="003C1746">
      <w:pPr>
        <w:pStyle w:val="AMDisplayEquation"/>
        <w:spacing w:line="360" w:lineRule="auto"/>
        <w:ind w:firstLine="420"/>
        <w:jc w:val="both"/>
        <w:rPr>
          <w:rFonts w:ascii="Times New Roman" w:hAnsi="Times New Roman" w:cs="Times New Roman"/>
        </w:rPr>
      </w:pPr>
      <w:r>
        <w:rPr>
          <w:rFonts w:ascii="Times New Roman" w:hAnsi="Times New Roman" w:cs="Times New Roman"/>
          <w:position w:val="-10"/>
        </w:rPr>
        <w:object w:dxaOrig="5514" w:dyaOrig="425" w14:anchorId="7DE997FF">
          <v:shape id="_x0000_i1082" type="#_x0000_t75" style="width:276pt;height:21pt" o:ole="">
            <v:imagedata r:id="rId115" o:title=""/>
          </v:shape>
          <o:OLEObject Type="Embed" ProgID="Equation.AxMath" ShapeID="_x0000_i1082" DrawAspect="Content" ObjectID="_1837796779" r:id="rId116"/>
        </w:object>
      </w:r>
    </w:p>
    <w:p w14:paraId="2959CEE3" w14:textId="05C039CC" w:rsidR="00EA25D5" w:rsidRDefault="00000000" w:rsidP="003C1746">
      <w:pPr>
        <w:pStyle w:val="AMDisplayEquation"/>
        <w:spacing w:line="360" w:lineRule="auto"/>
        <w:ind w:firstLine="420"/>
        <w:jc w:val="both"/>
        <w:rPr>
          <w:rFonts w:ascii="Times New Roman" w:hAnsi="Times New Roman" w:cs="Times New Roman"/>
        </w:rPr>
      </w:pPr>
      <w:r>
        <w:rPr>
          <w:rFonts w:ascii="Times New Roman" w:hAnsi="Times New Roman" w:cs="Times New Roman"/>
          <w:position w:val="-10"/>
        </w:rPr>
        <w:object w:dxaOrig="5934" w:dyaOrig="425" w14:anchorId="05791C2F">
          <v:shape id="_x0000_i1083" type="#_x0000_t75" style="width:297pt;height:21pt" o:ole="">
            <v:imagedata r:id="rId117" o:title=""/>
          </v:shape>
          <o:OLEObject Type="Embed" ProgID="Equation.AxMath" ShapeID="_x0000_i1083" DrawAspect="Content" ObjectID="_1837796780" r:id="rId118"/>
        </w:object>
      </w:r>
    </w:p>
    <w:p w14:paraId="7562B4D3" w14:textId="77777777" w:rsidR="00EA25D5" w:rsidRDefault="00000000" w:rsidP="003C1746">
      <w:pPr>
        <w:spacing w:after="0" w:line="360" w:lineRule="auto"/>
        <w:ind w:firstLine="420"/>
        <w:jc w:val="both"/>
        <w:rPr>
          <w:rFonts w:ascii="Times New Roman" w:eastAsia="宋体" w:hAnsi="Times New Roman" w:cs="Times New Roman"/>
          <w:sz w:val="24"/>
        </w:rPr>
      </w:pPr>
      <w:r>
        <w:rPr>
          <w:rFonts w:ascii="Times New Roman" w:eastAsia="宋体" w:hAnsi="Times New Roman" w:cs="Times New Roman"/>
          <w:sz w:val="24"/>
        </w:rPr>
        <w:t>在联合训练初期，模型先采用</w:t>
      </w:r>
      <w:r>
        <w:rPr>
          <w:rFonts w:ascii="Times New Roman" w:eastAsia="宋体" w:hAnsi="Times New Roman" w:cs="Times New Roman"/>
          <w:sz w:val="24"/>
        </w:rPr>
        <w:t xml:space="preserve"> warmup </w:t>
      </w:r>
      <w:r>
        <w:rPr>
          <w:rFonts w:ascii="Times New Roman" w:eastAsia="宋体" w:hAnsi="Times New Roman" w:cs="Times New Roman"/>
          <w:sz w:val="24"/>
        </w:rPr>
        <w:t>策略，以避免因果结构过早介入而破坏潜在表示的稳定性。此时潜在变量直接取共享编码结果：</w:t>
      </w:r>
    </w:p>
    <w:p w14:paraId="66C0051A" w14:textId="3A760D9E" w:rsidR="00EA25D5" w:rsidRDefault="00000000" w:rsidP="003C1746">
      <w:pPr>
        <w:pStyle w:val="AMDisplayEquation"/>
        <w:spacing w:line="360" w:lineRule="auto"/>
        <w:ind w:firstLine="420"/>
        <w:jc w:val="both"/>
        <w:rPr>
          <w:rFonts w:ascii="Times New Roman" w:hAnsi="Times New Roman" w:cs="Times New Roman"/>
        </w:rPr>
      </w:pPr>
      <w:r>
        <w:rPr>
          <w:rFonts w:ascii="Times New Roman" w:hAnsi="Times New Roman" w:cs="Times New Roman"/>
          <w:position w:val="-10"/>
        </w:rPr>
        <w:object w:dxaOrig="944" w:dyaOrig="425" w14:anchorId="123AE502">
          <v:shape id="_x0000_i1084" type="#_x0000_t75" style="width:47.25pt;height:21pt" o:ole="">
            <v:imagedata r:id="rId119" o:title=""/>
          </v:shape>
          <o:OLEObject Type="Embed" ProgID="Equation.AxMath" ShapeID="_x0000_i1084" DrawAspect="Content" ObjectID="_1837796781" r:id="rId120"/>
        </w:object>
      </w:r>
    </w:p>
    <w:p w14:paraId="6F90996C" w14:textId="77777777" w:rsidR="00EA25D5" w:rsidRDefault="00000000" w:rsidP="003C1746">
      <w:pPr>
        <w:spacing w:line="360" w:lineRule="auto"/>
        <w:ind w:firstLine="420"/>
        <w:jc w:val="both"/>
        <w:rPr>
          <w:rFonts w:ascii="Times New Roman" w:eastAsia="宋体" w:hAnsi="Times New Roman" w:cs="Times New Roman"/>
          <w:sz w:val="24"/>
        </w:rPr>
      </w:pPr>
      <w:r>
        <w:rPr>
          <w:rFonts w:ascii="Times New Roman" w:eastAsia="宋体" w:hAnsi="Times New Roman" w:cs="Times New Roman"/>
          <w:sz w:val="24"/>
        </w:rPr>
        <w:t>待表示空间基本稳定后，再切换为完整的结构方程形式：</w:t>
      </w:r>
    </w:p>
    <w:p w14:paraId="195AC26B" w14:textId="5DF53D50" w:rsidR="00EA25D5" w:rsidRDefault="00000000" w:rsidP="003C1746">
      <w:pPr>
        <w:pStyle w:val="AMDisplayEquation"/>
        <w:spacing w:line="360" w:lineRule="auto"/>
        <w:ind w:firstLine="420"/>
        <w:jc w:val="both"/>
        <w:rPr>
          <w:rFonts w:ascii="Times New Roman" w:hAnsi="Times New Roman" w:cs="Times New Roman"/>
        </w:rPr>
      </w:pPr>
      <w:r>
        <w:rPr>
          <w:rFonts w:ascii="Times New Roman" w:hAnsi="Times New Roman" w:cs="Times New Roman"/>
          <w:position w:val="-10"/>
        </w:rPr>
        <w:object w:dxaOrig="3352" w:dyaOrig="425" w14:anchorId="78703E76">
          <v:shape id="_x0000_i1085" type="#_x0000_t75" style="width:167.25pt;height:21pt" o:ole="">
            <v:imagedata r:id="rId52" o:title=""/>
          </v:shape>
          <o:OLEObject Type="Embed" ProgID="Equation.AxMath" ShapeID="_x0000_i1085" DrawAspect="Content" ObjectID="_1837796782" r:id="rId121"/>
        </w:object>
      </w:r>
    </w:p>
    <w:p w14:paraId="49E131DA" w14:textId="77777777" w:rsidR="00EA25D5" w:rsidRDefault="00000000" w:rsidP="003C1746">
      <w:pPr>
        <w:spacing w:after="0" w:line="360" w:lineRule="auto"/>
        <w:ind w:firstLine="420"/>
        <w:jc w:val="both"/>
        <w:rPr>
          <w:rFonts w:ascii="Times New Roman" w:hAnsi="Times New Roman" w:cs="Times New Roman"/>
        </w:rPr>
      </w:pPr>
      <w:r>
        <w:rPr>
          <w:rFonts w:ascii="Times New Roman" w:eastAsia="宋体" w:hAnsi="Times New Roman" w:cs="Times New Roman"/>
          <w:sz w:val="24"/>
        </w:rPr>
        <w:t>并同步退火温度参数</w:t>
      </w:r>
      <w:r>
        <w:rPr>
          <w:rFonts w:ascii="Times New Roman" w:eastAsia="宋体" w:hAnsi="Times New Roman" w:cs="Times New Roman"/>
          <w:position w:val="-10"/>
          <w:sz w:val="24"/>
        </w:rPr>
        <w:object w:dxaOrig="194" w:dyaOrig="356" w14:anchorId="051932AD">
          <v:shape id="_x0000_i1086" type="#_x0000_t75" style="width:9.75pt;height:18pt" o:ole="">
            <v:imagedata r:id="rId81" o:title=""/>
          </v:shape>
          <o:OLEObject Type="Embed" ProgID="Equation.AxMath" ShapeID="_x0000_i1086" DrawAspect="Content" ObjectID="_1837796783" r:id="rId122"/>
        </w:object>
      </w:r>
      <w:r>
        <w:rPr>
          <w:rFonts w:ascii="Times New Roman" w:eastAsia="宋体" w:hAnsi="Times New Roman" w:cs="Times New Roman"/>
          <w:sz w:val="24"/>
        </w:rPr>
        <w:t>、逐步增强结构约束强度。通过这一训练流程，模型最终实现了从高维观测数据到潜在因果结构，再到真实分子网络解释的统一建模。</w:t>
      </w:r>
    </w:p>
    <w:p w14:paraId="5F424DC3" w14:textId="77777777" w:rsidR="00EA25D5" w:rsidRDefault="00000000" w:rsidP="003C1746">
      <w:pPr>
        <w:spacing w:after="0" w:line="360" w:lineRule="auto"/>
        <w:jc w:val="both"/>
        <w:outlineLvl w:val="0"/>
        <w:rPr>
          <w:rFonts w:ascii="Times New Roman" w:eastAsia="宋体" w:hAnsi="Times New Roman" w:cs="Times New Roman"/>
          <w:b/>
          <w:bCs/>
          <w:sz w:val="24"/>
        </w:rPr>
      </w:pPr>
      <w:r>
        <w:rPr>
          <w:rFonts w:ascii="Times New Roman" w:eastAsia="宋体" w:hAnsi="Times New Roman" w:cs="Times New Roman" w:hint="eastAsia"/>
          <w:b/>
          <w:bCs/>
          <w:sz w:val="24"/>
        </w:rPr>
        <w:t>实验阶段结果</w:t>
      </w:r>
    </w:p>
    <w:p w14:paraId="0DAE1C51" w14:textId="77777777" w:rsidR="00EA25D5" w:rsidRDefault="00000000" w:rsidP="003C1746">
      <w:pPr>
        <w:spacing w:after="0" w:line="360" w:lineRule="auto"/>
        <w:jc w:val="both"/>
        <w:rPr>
          <w:rFonts w:ascii="宋体" w:eastAsia="宋体" w:hAnsi="宋体" w:cs="宋体" w:hint="eastAsia"/>
          <w:sz w:val="24"/>
        </w:rPr>
      </w:pPr>
      <w:r>
        <w:rPr>
          <w:rFonts w:ascii="宋体" w:eastAsia="宋体" w:hAnsi="宋体" w:cs="宋体" w:hint="eastAsia"/>
          <w:sz w:val="24"/>
        </w:rPr>
        <w:t>本研究基于UKB 肝衰竭相关多模态数据构建了高维输入框架，其中原数据经过标准化和删失值标注，最后通过随机扰动方法进行数据增强，增强后数据包含 1950 个样本、340 维临床特征、5844 维蛋白特征和 504 维代谢特征，其中配对样本为140例。在临床特征中筛选3个二分类结局和15个连续结局作为结局变量Y。</w:t>
      </w:r>
    </w:p>
    <w:p w14:paraId="6B81072C" w14:textId="77777777" w:rsidR="00EA25D5" w:rsidRDefault="00000000" w:rsidP="003C1746">
      <w:pPr>
        <w:spacing w:after="0" w:line="360" w:lineRule="auto"/>
        <w:jc w:val="both"/>
        <w:rPr>
          <w:rFonts w:ascii="宋体" w:eastAsia="宋体" w:hAnsi="宋体" w:cs="宋体" w:hint="eastAsia"/>
          <w:sz w:val="24"/>
        </w:rPr>
      </w:pPr>
      <w:r>
        <w:rPr>
          <w:rFonts w:ascii="宋体" w:eastAsia="宋体" w:hAnsi="宋体" w:cs="宋体" w:hint="eastAsia"/>
          <w:sz w:val="24"/>
        </w:rPr>
        <w:t>模型以完整蛋白组和完整代谢组作为输入，通过显式缺失掩码保留部分模态缺失结构，并在特征层学习全局因果图；进一步经边权阈值筛选后，得到以 IFNG、IL6、S100A12、OSMR、LGALS3、PTX3、ANGPT2 等33个蛋白节点和 p23473_i0、p23584_i0、p23630_i0、p23629_i0 等40个代谢节点为核心的子因果图，提示炎症激活、内皮损伤及代谢异常可能共同构成肝衰竭相关分子网络的主干结构。</w:t>
      </w:r>
    </w:p>
    <w:p w14:paraId="4FFD0238" w14:textId="77777777" w:rsidR="00EA25D5" w:rsidRDefault="00000000" w:rsidP="003C1746">
      <w:pPr>
        <w:spacing w:after="0" w:line="360" w:lineRule="auto"/>
        <w:jc w:val="both"/>
        <w:rPr>
          <w:rFonts w:hint="eastAsia"/>
        </w:rPr>
      </w:pPr>
      <w:r>
        <w:rPr>
          <w:noProof/>
        </w:rPr>
        <w:drawing>
          <wp:inline distT="0" distB="0" distL="114300" distR="114300" wp14:anchorId="32B9C96D" wp14:editId="1C712561">
            <wp:extent cx="3682365" cy="3546475"/>
            <wp:effectExtent l="0" t="0" r="635" b="9525"/>
            <wp:docPr id="1"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3"/>
                    <pic:cNvPicPr>
                      <a:picLocks noChangeAspect="1"/>
                    </pic:cNvPicPr>
                  </pic:nvPicPr>
                  <pic:blipFill>
                    <a:blip r:embed="rId123"/>
                    <a:stretch>
                      <a:fillRect/>
                    </a:stretch>
                  </pic:blipFill>
                  <pic:spPr>
                    <a:xfrm>
                      <a:off x="0" y="0"/>
                      <a:ext cx="3682365" cy="3546475"/>
                    </a:xfrm>
                    <a:prstGeom prst="rect">
                      <a:avLst/>
                    </a:prstGeom>
                    <a:noFill/>
                    <a:ln>
                      <a:noFill/>
                    </a:ln>
                  </pic:spPr>
                </pic:pic>
              </a:graphicData>
            </a:graphic>
          </wp:inline>
        </w:drawing>
      </w:r>
    </w:p>
    <w:p w14:paraId="384AF317" w14:textId="77777777" w:rsidR="00EA25D5" w:rsidRDefault="00000000" w:rsidP="003C1746">
      <w:pPr>
        <w:spacing w:after="0" w:line="360" w:lineRule="auto"/>
        <w:jc w:val="both"/>
        <w:rPr>
          <w:rFonts w:hint="eastAsia"/>
        </w:rPr>
      </w:pPr>
      <w:r>
        <w:rPr>
          <w:rFonts w:hint="eastAsia"/>
          <w:noProof/>
        </w:rPr>
        <w:drawing>
          <wp:inline distT="0" distB="0" distL="114300" distR="114300" wp14:anchorId="3BB3B85B" wp14:editId="78B444C9">
            <wp:extent cx="3801110" cy="3299460"/>
            <wp:effectExtent l="0" t="0" r="8890" b="2540"/>
            <wp:docPr id="2" name="图片 2" descr="feature_projection_G_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eature_projection_G_heatmap"/>
                    <pic:cNvPicPr>
                      <a:picLocks noChangeAspect="1"/>
                    </pic:cNvPicPr>
                  </pic:nvPicPr>
                  <pic:blipFill>
                    <a:blip r:embed="rId124"/>
                    <a:stretch>
                      <a:fillRect/>
                    </a:stretch>
                  </pic:blipFill>
                  <pic:spPr>
                    <a:xfrm>
                      <a:off x="0" y="0"/>
                      <a:ext cx="3801110" cy="3299460"/>
                    </a:xfrm>
                    <a:prstGeom prst="rect">
                      <a:avLst/>
                    </a:prstGeom>
                  </pic:spPr>
                </pic:pic>
              </a:graphicData>
            </a:graphic>
          </wp:inline>
        </w:drawing>
      </w:r>
    </w:p>
    <w:sectPr w:rsidR="00EA25D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1A563" w14:textId="77777777" w:rsidR="00497C29" w:rsidRDefault="00497C29">
      <w:pPr>
        <w:spacing w:line="240" w:lineRule="auto"/>
        <w:rPr>
          <w:rFonts w:hint="eastAsia"/>
        </w:rPr>
      </w:pPr>
      <w:r>
        <w:separator/>
      </w:r>
    </w:p>
  </w:endnote>
  <w:endnote w:type="continuationSeparator" w:id="0">
    <w:p w14:paraId="37FF797D" w14:textId="77777777" w:rsidR="00497C29" w:rsidRDefault="00497C29">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C06D5" w14:textId="77777777" w:rsidR="00497C29" w:rsidRDefault="00497C29">
      <w:pPr>
        <w:spacing w:after="0"/>
        <w:rPr>
          <w:rFonts w:hint="eastAsia"/>
        </w:rPr>
      </w:pPr>
      <w:r>
        <w:separator/>
      </w:r>
    </w:p>
  </w:footnote>
  <w:footnote w:type="continuationSeparator" w:id="0">
    <w:p w14:paraId="11665CB8" w14:textId="77777777" w:rsidR="00497C29" w:rsidRDefault="00497C29">
      <w:pPr>
        <w:spacing w:after="0"/>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6CC8"/>
    <w:rsid w:val="00077F2B"/>
    <w:rsid w:val="000828BB"/>
    <w:rsid w:val="00316629"/>
    <w:rsid w:val="0036731F"/>
    <w:rsid w:val="003C1746"/>
    <w:rsid w:val="003D1CDE"/>
    <w:rsid w:val="00497C29"/>
    <w:rsid w:val="00786CC8"/>
    <w:rsid w:val="007D5FBE"/>
    <w:rsid w:val="009B6331"/>
    <w:rsid w:val="00A31BBE"/>
    <w:rsid w:val="00A67E9F"/>
    <w:rsid w:val="00A93A5A"/>
    <w:rsid w:val="00A94861"/>
    <w:rsid w:val="00AE4E9A"/>
    <w:rsid w:val="00B4517C"/>
    <w:rsid w:val="00B46A3A"/>
    <w:rsid w:val="00C35826"/>
    <w:rsid w:val="00CE4AE4"/>
    <w:rsid w:val="00CF72FB"/>
    <w:rsid w:val="00DB0FC6"/>
    <w:rsid w:val="00DE4B89"/>
    <w:rsid w:val="00E405FC"/>
    <w:rsid w:val="00E76C46"/>
    <w:rsid w:val="00E9764E"/>
    <w:rsid w:val="00EA25D5"/>
    <w:rsid w:val="00ED77E6"/>
    <w:rsid w:val="00F13993"/>
    <w:rsid w:val="02746A84"/>
    <w:rsid w:val="1CFF1DBC"/>
    <w:rsid w:val="39956776"/>
    <w:rsid w:val="54F03BF7"/>
    <w:rsid w:val="5A666DFD"/>
    <w:rsid w:val="5B301727"/>
    <w:rsid w:val="6C337D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D9102"/>
  <w15:docId w15:val="{9DC19A10-8944-44E5-90FE-1C91DFA29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rFonts w:asciiTheme="minorHAnsi" w:eastAsiaTheme="minorEastAsia" w:hAnsiTheme="minorHAnsi" w:cstheme="minorBidi"/>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spacing w:line="240" w:lineRule="auto"/>
    </w:pPr>
    <w:rPr>
      <w:sz w:val="18"/>
      <w:szCs w:val="18"/>
    </w:rPr>
  </w:style>
  <w:style w:type="paragraph" w:styleId="a5">
    <w:name w:val="header"/>
    <w:basedOn w:val="a"/>
    <w:link w:val="a6"/>
    <w:uiPriority w:val="99"/>
    <w:unhideWhenUsed/>
    <w:qFormat/>
    <w:pPr>
      <w:tabs>
        <w:tab w:val="center" w:pos="4153"/>
        <w:tab w:val="right" w:pos="8306"/>
      </w:tabs>
      <w:snapToGrid w:val="0"/>
      <w:spacing w:line="240" w:lineRule="auto"/>
      <w:jc w:val="center"/>
    </w:pPr>
    <w:rPr>
      <w:sz w:val="18"/>
      <w:szCs w:val="18"/>
    </w:rPr>
  </w:style>
  <w:style w:type="paragraph" w:styleId="a7">
    <w:name w:val="Subtitle"/>
    <w:basedOn w:val="a"/>
    <w:next w:val="a"/>
    <w:link w:val="a8"/>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9">
    <w:name w:val="Normal (Web)"/>
    <w:basedOn w:val="a"/>
    <w:uiPriority w:val="99"/>
    <w:semiHidden/>
    <w:unhideWhenUsed/>
    <w:pPr>
      <w:spacing w:beforeAutospacing="1" w:after="0" w:afterAutospacing="1"/>
    </w:pPr>
    <w:rPr>
      <w:rFonts w:cs="Times New Roman"/>
      <w:kern w:val="0"/>
      <w:sz w:val="24"/>
    </w:rPr>
  </w:style>
  <w:style w:type="paragraph" w:styleId="aa">
    <w:name w:val="Title"/>
    <w:basedOn w:val="a"/>
    <w:next w:val="a"/>
    <w:link w:val="ab"/>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character" w:styleId="ac">
    <w:name w:val="Strong"/>
    <w:basedOn w:val="a0"/>
    <w:uiPriority w:val="22"/>
    <w:qFormat/>
    <w:rPr>
      <w:b/>
    </w:rPr>
  </w:style>
  <w:style w:type="character" w:customStyle="1" w:styleId="10">
    <w:name w:val="标题 1 字符"/>
    <w:basedOn w:val="a0"/>
    <w:link w:val="1"/>
    <w:uiPriority w:val="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qFormat/>
    <w:rPr>
      <w:rFonts w:cstheme="majorBidi"/>
      <w:color w:val="2F5496" w:themeColor="accent1" w:themeShade="BF"/>
      <w:sz w:val="28"/>
      <w:szCs w:val="28"/>
    </w:rPr>
  </w:style>
  <w:style w:type="character" w:customStyle="1" w:styleId="50">
    <w:name w:val="标题 5 字符"/>
    <w:basedOn w:val="a0"/>
    <w:link w:val="5"/>
    <w:uiPriority w:val="9"/>
    <w:semiHidden/>
    <w:qFormat/>
    <w:rPr>
      <w:rFonts w:cstheme="majorBidi"/>
      <w:color w:val="2F5496" w:themeColor="accent1" w:themeShade="BF"/>
      <w:sz w:val="24"/>
    </w:rPr>
  </w:style>
  <w:style w:type="character" w:customStyle="1" w:styleId="60">
    <w:name w:val="标题 6 字符"/>
    <w:basedOn w:val="a0"/>
    <w:link w:val="6"/>
    <w:uiPriority w:val="9"/>
    <w:semiHidden/>
    <w:qFormat/>
    <w:rPr>
      <w:rFonts w:cstheme="majorBidi"/>
      <w:b/>
      <w:bCs/>
      <w:color w:val="2F5496"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b">
    <w:name w:val="标题 字符"/>
    <w:basedOn w:val="a0"/>
    <w:link w:val="aa"/>
    <w:uiPriority w:val="10"/>
    <w:qFormat/>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qFormat/>
    <w:rPr>
      <w:rFonts w:asciiTheme="majorHAnsi" w:eastAsiaTheme="majorEastAsia" w:hAnsiTheme="majorHAnsi" w:cstheme="majorBidi"/>
      <w:color w:val="595959" w:themeColor="text1" w:themeTint="A6"/>
      <w:spacing w:val="15"/>
      <w:sz w:val="28"/>
      <w:szCs w:val="28"/>
    </w:rPr>
  </w:style>
  <w:style w:type="paragraph" w:styleId="ad">
    <w:name w:val="Quote"/>
    <w:basedOn w:val="a"/>
    <w:next w:val="a"/>
    <w:link w:val="ae"/>
    <w:uiPriority w:val="29"/>
    <w:qFormat/>
    <w:pPr>
      <w:spacing w:before="160"/>
      <w:jc w:val="center"/>
    </w:pPr>
    <w:rPr>
      <w:i/>
      <w:iCs/>
      <w:color w:val="404040" w:themeColor="text1" w:themeTint="BF"/>
    </w:rPr>
  </w:style>
  <w:style w:type="character" w:customStyle="1" w:styleId="ae">
    <w:name w:val="引用 字符"/>
    <w:basedOn w:val="a0"/>
    <w:link w:val="ad"/>
    <w:uiPriority w:val="29"/>
    <w:qFormat/>
    <w:rPr>
      <w:i/>
      <w:iCs/>
      <w:color w:val="404040" w:themeColor="text1" w:themeTint="BF"/>
    </w:rPr>
  </w:style>
  <w:style w:type="paragraph" w:styleId="af">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f0">
    <w:name w:val="Intense Quote"/>
    <w:basedOn w:val="a"/>
    <w:next w:val="a"/>
    <w:link w:val="af1"/>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1">
    <w:name w:val="明显引用 字符"/>
    <w:basedOn w:val="a0"/>
    <w:link w:val="af0"/>
    <w:uiPriority w:val="30"/>
    <w:qFormat/>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customStyle="1" w:styleId="AMDisplayEquation">
    <w:name w:val="AMDisplayEquation"/>
    <w:basedOn w:val="a"/>
    <w:next w:val="a"/>
    <w:pPr>
      <w:tabs>
        <w:tab w:val="center" w:pos="4160"/>
        <w:tab w:val="right" w:pos="830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wmf"/><Relationship Id="rId117" Type="http://schemas.openxmlformats.org/officeDocument/2006/relationships/image" Target="media/image54.wmf"/><Relationship Id="rId21" Type="http://schemas.openxmlformats.org/officeDocument/2006/relationships/oleObject" Target="embeddings/oleObject10.bin"/><Relationship Id="rId42" Type="http://schemas.openxmlformats.org/officeDocument/2006/relationships/image" Target="media/image17.wmf"/><Relationship Id="rId47" Type="http://schemas.openxmlformats.org/officeDocument/2006/relationships/oleObject" Target="embeddings/oleObject23.bin"/><Relationship Id="rId63" Type="http://schemas.openxmlformats.org/officeDocument/2006/relationships/oleObject" Target="embeddings/oleObject31.bin"/><Relationship Id="rId68" Type="http://schemas.openxmlformats.org/officeDocument/2006/relationships/oleObject" Target="embeddings/oleObject34.bin"/><Relationship Id="rId84" Type="http://schemas.openxmlformats.org/officeDocument/2006/relationships/oleObject" Target="embeddings/oleObject42.bin"/><Relationship Id="rId89" Type="http://schemas.openxmlformats.org/officeDocument/2006/relationships/image" Target="media/image40.wmf"/><Relationship Id="rId112" Type="http://schemas.openxmlformats.org/officeDocument/2006/relationships/oleObject" Target="embeddings/oleObject56.bin"/><Relationship Id="rId16" Type="http://schemas.openxmlformats.org/officeDocument/2006/relationships/oleObject" Target="embeddings/oleObject7.bin"/><Relationship Id="rId107" Type="http://schemas.openxmlformats.org/officeDocument/2006/relationships/image" Target="media/image49.wmf"/><Relationship Id="rId11" Type="http://schemas.openxmlformats.org/officeDocument/2006/relationships/oleObject" Target="embeddings/oleObject3.bin"/><Relationship Id="rId32" Type="http://schemas.openxmlformats.org/officeDocument/2006/relationships/image" Target="media/image12.wmf"/><Relationship Id="rId37" Type="http://schemas.openxmlformats.org/officeDocument/2006/relationships/oleObject" Target="embeddings/oleObject18.bin"/><Relationship Id="rId53" Type="http://schemas.openxmlformats.org/officeDocument/2006/relationships/oleObject" Target="embeddings/oleObject26.bin"/><Relationship Id="rId58" Type="http://schemas.openxmlformats.org/officeDocument/2006/relationships/image" Target="media/image25.wmf"/><Relationship Id="rId74" Type="http://schemas.openxmlformats.org/officeDocument/2006/relationships/oleObject" Target="embeddings/oleObject37.bin"/><Relationship Id="rId79" Type="http://schemas.openxmlformats.org/officeDocument/2006/relationships/image" Target="media/image35.wmf"/><Relationship Id="rId102" Type="http://schemas.openxmlformats.org/officeDocument/2006/relationships/oleObject" Target="embeddings/oleObject51.bin"/><Relationship Id="rId123" Type="http://schemas.openxmlformats.org/officeDocument/2006/relationships/image" Target="media/image56.png"/><Relationship Id="rId5" Type="http://schemas.openxmlformats.org/officeDocument/2006/relationships/endnotes" Target="endnotes.xml"/><Relationship Id="rId90" Type="http://schemas.openxmlformats.org/officeDocument/2006/relationships/oleObject" Target="embeddings/oleObject45.bin"/><Relationship Id="rId95" Type="http://schemas.openxmlformats.org/officeDocument/2006/relationships/image" Target="media/image43.wmf"/><Relationship Id="rId22" Type="http://schemas.openxmlformats.org/officeDocument/2006/relationships/image" Target="media/image7.wmf"/><Relationship Id="rId27" Type="http://schemas.openxmlformats.org/officeDocument/2006/relationships/oleObject" Target="embeddings/oleObject13.bin"/><Relationship Id="rId43" Type="http://schemas.openxmlformats.org/officeDocument/2006/relationships/oleObject" Target="embeddings/oleObject21.bin"/><Relationship Id="rId48" Type="http://schemas.openxmlformats.org/officeDocument/2006/relationships/image" Target="media/image20.wmf"/><Relationship Id="rId64" Type="http://schemas.openxmlformats.org/officeDocument/2006/relationships/image" Target="media/image28.wmf"/><Relationship Id="rId69" Type="http://schemas.openxmlformats.org/officeDocument/2006/relationships/image" Target="media/image30.wmf"/><Relationship Id="rId113" Type="http://schemas.openxmlformats.org/officeDocument/2006/relationships/image" Target="media/image52.wmf"/><Relationship Id="rId118" Type="http://schemas.openxmlformats.org/officeDocument/2006/relationships/oleObject" Target="embeddings/oleObject59.bin"/><Relationship Id="rId80" Type="http://schemas.openxmlformats.org/officeDocument/2006/relationships/oleObject" Target="embeddings/oleObject40.bin"/><Relationship Id="rId85" Type="http://schemas.openxmlformats.org/officeDocument/2006/relationships/image" Target="media/image38.wmf"/><Relationship Id="rId12" Type="http://schemas.openxmlformats.org/officeDocument/2006/relationships/image" Target="media/image4.wmf"/><Relationship Id="rId17" Type="http://schemas.openxmlformats.org/officeDocument/2006/relationships/oleObject" Target="embeddings/oleObject8.bin"/><Relationship Id="rId33" Type="http://schemas.openxmlformats.org/officeDocument/2006/relationships/oleObject" Target="embeddings/oleObject16.bin"/><Relationship Id="rId38" Type="http://schemas.openxmlformats.org/officeDocument/2006/relationships/image" Target="media/image15.wmf"/><Relationship Id="rId59" Type="http://schemas.openxmlformats.org/officeDocument/2006/relationships/oleObject" Target="embeddings/oleObject29.bin"/><Relationship Id="rId103" Type="http://schemas.openxmlformats.org/officeDocument/2006/relationships/image" Target="media/image47.wmf"/><Relationship Id="rId108" Type="http://schemas.openxmlformats.org/officeDocument/2006/relationships/oleObject" Target="embeddings/oleObject54.bin"/><Relationship Id="rId124" Type="http://schemas.openxmlformats.org/officeDocument/2006/relationships/image" Target="media/image57.png"/><Relationship Id="rId54" Type="http://schemas.openxmlformats.org/officeDocument/2006/relationships/image" Target="media/image23.wmf"/><Relationship Id="rId70" Type="http://schemas.openxmlformats.org/officeDocument/2006/relationships/oleObject" Target="embeddings/oleObject35.bin"/><Relationship Id="rId75" Type="http://schemas.openxmlformats.org/officeDocument/2006/relationships/image" Target="media/image33.wmf"/><Relationship Id="rId91" Type="http://schemas.openxmlformats.org/officeDocument/2006/relationships/image" Target="media/image41.wmf"/><Relationship Id="rId96" Type="http://schemas.openxmlformats.org/officeDocument/2006/relationships/oleObject" Target="embeddings/oleObject48.bin"/><Relationship Id="rId1" Type="http://schemas.openxmlformats.org/officeDocument/2006/relationships/styles" Target="styles.xml"/><Relationship Id="rId6" Type="http://schemas.openxmlformats.org/officeDocument/2006/relationships/image" Target="media/image1.wmf"/><Relationship Id="rId23" Type="http://schemas.openxmlformats.org/officeDocument/2006/relationships/oleObject" Target="embeddings/oleObject11.bin"/><Relationship Id="rId28" Type="http://schemas.openxmlformats.org/officeDocument/2006/relationships/image" Target="media/image10.wmf"/><Relationship Id="rId49" Type="http://schemas.openxmlformats.org/officeDocument/2006/relationships/oleObject" Target="embeddings/oleObject24.bin"/><Relationship Id="rId114" Type="http://schemas.openxmlformats.org/officeDocument/2006/relationships/oleObject" Target="embeddings/oleObject57.bin"/><Relationship Id="rId119" Type="http://schemas.openxmlformats.org/officeDocument/2006/relationships/image" Target="media/image55.wmf"/><Relationship Id="rId44" Type="http://schemas.openxmlformats.org/officeDocument/2006/relationships/image" Target="media/image18.wmf"/><Relationship Id="rId60" Type="http://schemas.openxmlformats.org/officeDocument/2006/relationships/image" Target="media/image26.wmf"/><Relationship Id="rId65" Type="http://schemas.openxmlformats.org/officeDocument/2006/relationships/oleObject" Target="embeddings/oleObject32.bin"/><Relationship Id="rId81" Type="http://schemas.openxmlformats.org/officeDocument/2006/relationships/image" Target="media/image36.wmf"/><Relationship Id="rId86" Type="http://schemas.openxmlformats.org/officeDocument/2006/relationships/oleObject" Target="embeddings/oleObject43.bin"/><Relationship Id="rId13" Type="http://schemas.openxmlformats.org/officeDocument/2006/relationships/oleObject" Target="embeddings/oleObject4.bin"/><Relationship Id="rId18" Type="http://schemas.openxmlformats.org/officeDocument/2006/relationships/image" Target="media/image5.wmf"/><Relationship Id="rId39" Type="http://schemas.openxmlformats.org/officeDocument/2006/relationships/oleObject" Target="embeddings/oleObject19.bin"/><Relationship Id="rId109" Type="http://schemas.openxmlformats.org/officeDocument/2006/relationships/image" Target="media/image50.wmf"/><Relationship Id="rId34" Type="http://schemas.openxmlformats.org/officeDocument/2006/relationships/image" Target="media/image13.wmf"/><Relationship Id="rId50" Type="http://schemas.openxmlformats.org/officeDocument/2006/relationships/image" Target="media/image21.wmf"/><Relationship Id="rId55" Type="http://schemas.openxmlformats.org/officeDocument/2006/relationships/oleObject" Target="embeddings/oleObject27.bin"/><Relationship Id="rId76" Type="http://schemas.openxmlformats.org/officeDocument/2006/relationships/oleObject" Target="embeddings/oleObject38.bin"/><Relationship Id="rId97" Type="http://schemas.openxmlformats.org/officeDocument/2006/relationships/image" Target="media/image44.wmf"/><Relationship Id="rId104" Type="http://schemas.openxmlformats.org/officeDocument/2006/relationships/oleObject" Target="embeddings/oleObject52.bin"/><Relationship Id="rId120" Type="http://schemas.openxmlformats.org/officeDocument/2006/relationships/oleObject" Target="embeddings/oleObject60.bin"/><Relationship Id="rId125" Type="http://schemas.openxmlformats.org/officeDocument/2006/relationships/fontTable" Target="fontTable.xml"/><Relationship Id="rId7" Type="http://schemas.openxmlformats.org/officeDocument/2006/relationships/oleObject" Target="embeddings/oleObject1.bin"/><Relationship Id="rId71" Type="http://schemas.openxmlformats.org/officeDocument/2006/relationships/image" Target="media/image31.wmf"/><Relationship Id="rId92" Type="http://schemas.openxmlformats.org/officeDocument/2006/relationships/oleObject" Target="embeddings/oleObject46.bin"/><Relationship Id="rId2" Type="http://schemas.openxmlformats.org/officeDocument/2006/relationships/settings" Target="settings.xml"/><Relationship Id="rId29" Type="http://schemas.openxmlformats.org/officeDocument/2006/relationships/oleObject" Target="embeddings/oleObject14.bin"/><Relationship Id="rId24" Type="http://schemas.openxmlformats.org/officeDocument/2006/relationships/image" Target="media/image8.wmf"/><Relationship Id="rId40" Type="http://schemas.openxmlformats.org/officeDocument/2006/relationships/image" Target="media/image16.wmf"/><Relationship Id="rId45" Type="http://schemas.openxmlformats.org/officeDocument/2006/relationships/oleObject" Target="embeddings/oleObject22.bin"/><Relationship Id="rId66" Type="http://schemas.openxmlformats.org/officeDocument/2006/relationships/image" Target="media/image29.wmf"/><Relationship Id="rId87" Type="http://schemas.openxmlformats.org/officeDocument/2006/relationships/image" Target="media/image39.wmf"/><Relationship Id="rId110" Type="http://schemas.openxmlformats.org/officeDocument/2006/relationships/oleObject" Target="embeddings/oleObject55.bin"/><Relationship Id="rId115" Type="http://schemas.openxmlformats.org/officeDocument/2006/relationships/image" Target="media/image53.wmf"/><Relationship Id="rId61" Type="http://schemas.openxmlformats.org/officeDocument/2006/relationships/oleObject" Target="embeddings/oleObject30.bin"/><Relationship Id="rId82" Type="http://schemas.openxmlformats.org/officeDocument/2006/relationships/oleObject" Target="embeddings/oleObject41.bin"/><Relationship Id="rId19" Type="http://schemas.openxmlformats.org/officeDocument/2006/relationships/oleObject" Target="embeddings/oleObject9.bin"/><Relationship Id="rId14" Type="http://schemas.openxmlformats.org/officeDocument/2006/relationships/oleObject" Target="embeddings/oleObject5.bin"/><Relationship Id="rId30" Type="http://schemas.openxmlformats.org/officeDocument/2006/relationships/image" Target="media/image11.wmf"/><Relationship Id="rId35" Type="http://schemas.openxmlformats.org/officeDocument/2006/relationships/oleObject" Target="embeddings/oleObject17.bin"/><Relationship Id="rId56" Type="http://schemas.openxmlformats.org/officeDocument/2006/relationships/image" Target="media/image24.wmf"/><Relationship Id="rId77" Type="http://schemas.openxmlformats.org/officeDocument/2006/relationships/image" Target="media/image34.wmf"/><Relationship Id="rId100" Type="http://schemas.openxmlformats.org/officeDocument/2006/relationships/oleObject" Target="embeddings/oleObject50.bin"/><Relationship Id="rId105" Type="http://schemas.openxmlformats.org/officeDocument/2006/relationships/image" Target="media/image48.wmf"/><Relationship Id="rId126" Type="http://schemas.openxmlformats.org/officeDocument/2006/relationships/theme" Target="theme/theme1.xml"/><Relationship Id="rId8" Type="http://schemas.openxmlformats.org/officeDocument/2006/relationships/image" Target="media/image2.wmf"/><Relationship Id="rId51" Type="http://schemas.openxmlformats.org/officeDocument/2006/relationships/oleObject" Target="embeddings/oleObject25.bin"/><Relationship Id="rId72" Type="http://schemas.openxmlformats.org/officeDocument/2006/relationships/oleObject" Target="embeddings/oleObject36.bin"/><Relationship Id="rId93" Type="http://schemas.openxmlformats.org/officeDocument/2006/relationships/image" Target="media/image42.wmf"/><Relationship Id="rId98" Type="http://schemas.openxmlformats.org/officeDocument/2006/relationships/oleObject" Target="embeddings/oleObject49.bin"/><Relationship Id="rId121" Type="http://schemas.openxmlformats.org/officeDocument/2006/relationships/oleObject" Target="embeddings/oleObject61.bin"/><Relationship Id="rId3" Type="http://schemas.openxmlformats.org/officeDocument/2006/relationships/webSettings" Target="webSettings.xml"/><Relationship Id="rId25" Type="http://schemas.openxmlformats.org/officeDocument/2006/relationships/oleObject" Target="embeddings/oleObject12.bin"/><Relationship Id="rId46" Type="http://schemas.openxmlformats.org/officeDocument/2006/relationships/image" Target="media/image19.wmf"/><Relationship Id="rId67" Type="http://schemas.openxmlformats.org/officeDocument/2006/relationships/oleObject" Target="embeddings/oleObject33.bin"/><Relationship Id="rId116" Type="http://schemas.openxmlformats.org/officeDocument/2006/relationships/oleObject" Target="embeddings/oleObject58.bin"/><Relationship Id="rId20" Type="http://schemas.openxmlformats.org/officeDocument/2006/relationships/image" Target="media/image6.wmf"/><Relationship Id="rId41" Type="http://schemas.openxmlformats.org/officeDocument/2006/relationships/oleObject" Target="embeddings/oleObject20.bin"/><Relationship Id="rId62" Type="http://schemas.openxmlformats.org/officeDocument/2006/relationships/image" Target="media/image27.wmf"/><Relationship Id="rId83" Type="http://schemas.openxmlformats.org/officeDocument/2006/relationships/image" Target="media/image37.wmf"/><Relationship Id="rId88" Type="http://schemas.openxmlformats.org/officeDocument/2006/relationships/oleObject" Target="embeddings/oleObject44.bin"/><Relationship Id="rId111" Type="http://schemas.openxmlformats.org/officeDocument/2006/relationships/image" Target="media/image51.wmf"/><Relationship Id="rId15" Type="http://schemas.openxmlformats.org/officeDocument/2006/relationships/oleObject" Target="embeddings/oleObject6.bin"/><Relationship Id="rId36" Type="http://schemas.openxmlformats.org/officeDocument/2006/relationships/image" Target="media/image14.wmf"/><Relationship Id="rId57" Type="http://schemas.openxmlformats.org/officeDocument/2006/relationships/oleObject" Target="embeddings/oleObject28.bin"/><Relationship Id="rId106" Type="http://schemas.openxmlformats.org/officeDocument/2006/relationships/oleObject" Target="embeddings/oleObject53.bin"/><Relationship Id="rId10" Type="http://schemas.openxmlformats.org/officeDocument/2006/relationships/image" Target="media/image3.wmf"/><Relationship Id="rId31" Type="http://schemas.openxmlformats.org/officeDocument/2006/relationships/oleObject" Target="embeddings/oleObject15.bin"/><Relationship Id="rId52" Type="http://schemas.openxmlformats.org/officeDocument/2006/relationships/image" Target="media/image22.wmf"/><Relationship Id="rId73" Type="http://schemas.openxmlformats.org/officeDocument/2006/relationships/image" Target="media/image32.wmf"/><Relationship Id="rId78" Type="http://schemas.openxmlformats.org/officeDocument/2006/relationships/oleObject" Target="embeddings/oleObject39.bin"/><Relationship Id="rId94" Type="http://schemas.openxmlformats.org/officeDocument/2006/relationships/oleObject" Target="embeddings/oleObject47.bin"/><Relationship Id="rId99" Type="http://schemas.openxmlformats.org/officeDocument/2006/relationships/image" Target="media/image45.wmf"/><Relationship Id="rId101" Type="http://schemas.openxmlformats.org/officeDocument/2006/relationships/image" Target="media/image46.wmf"/><Relationship Id="rId122" Type="http://schemas.openxmlformats.org/officeDocument/2006/relationships/oleObject" Target="embeddings/oleObject62.bin"/><Relationship Id="rId4" Type="http://schemas.openxmlformats.org/officeDocument/2006/relationships/footnotes" Target="footnotes.xml"/><Relationship Id="rId9" Type="http://schemas.openxmlformats.org/officeDocument/2006/relationships/oleObject" Target="embeddings/oleObject2.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1</Pages>
  <Words>1069</Words>
  <Characters>6098</Characters>
  <Application>Microsoft Office Word</Application>
  <DocSecurity>0</DocSecurity>
  <Lines>50</Lines>
  <Paragraphs>14</Paragraphs>
  <ScaleCrop>false</ScaleCrop>
  <Company/>
  <LinksUpToDate>false</LinksUpToDate>
  <CharactersWithSpaces>7153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胡韬 陈</dc:creator>
  <cp:lastModifiedBy>胡韬 陈</cp:lastModifiedBy>
  <cp:revision>9</cp:revision>
  <dcterms:created xsi:type="dcterms:W3CDTF">2025-12-28T12:13:00Z</dcterms:created>
  <dcterms:modified xsi:type="dcterms:W3CDTF">2026-04-15T14:17:00Z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y fmtid="{D5CDD505-2E9C-101B-9397-08002B2CF9AE}" pid="3" name="KSOProductBuildVer">
    <vt:lpwstr>2052-12.8.2.21555</vt:lpwstr>
  </property>
  <property fmtid="{D5CDD505-2E9C-101B-9397-08002B2CF9AE}" pid="4" name="ICV">
    <vt:lpwstr>0E1BCD16CBE343BD911658F8DF53C3AD_13</vt:lpwstr>
  </property>
  <property fmtid="{D5CDD505-2E9C-101B-9397-08002B2CF9AE}" pid="5" name="CWM9ee89440386911f18000793d0000783d">
    <vt:lpwstr>CWMZkJFzbKJuvBIWNY4Qst/FokDAdwOU4rB07+1izm3ZecbFYwpkjyN1QYr/77oIZCw8IOkk6vCVBa4Qt09h349Mw==</vt:lpwstr>
  </property>
</Properties>
</file>